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Lines="50" w:afterLines="50" w:line="240" w:lineRule="exact"/>
        <w:jc w:val="left"/>
        <w:rPr>
          <w:rFonts w:ascii="Arial" w:hAnsi="Arial" w:cs="Arial"/>
          <w:b/>
          <w:sz w:val="24"/>
          <w:szCs w:val="24"/>
        </w:rPr>
      </w:pPr>
      <w:r>
        <w:rPr>
          <w:rFonts w:hint="eastAsia" w:ascii="Arial" w:hAnsi="Arial" w:cs="Arial"/>
          <w:b/>
          <w:sz w:val="24"/>
          <w:szCs w:val="24"/>
        </w:rPr>
        <w:t>3GPP TSG-RAN WG4 Meeting # 1</w:t>
      </w:r>
      <w:r>
        <w:rPr>
          <w:rFonts w:hint="eastAsia" w:ascii="Arial" w:hAnsi="Arial" w:cs="Arial"/>
          <w:b/>
          <w:sz w:val="24"/>
          <w:szCs w:val="24"/>
          <w:lang w:val="en-US" w:eastAsia="zh-CN"/>
        </w:rPr>
        <w:t>12</w:t>
      </w:r>
      <w:r>
        <w:rPr>
          <w:rFonts w:hint="eastAsia" w:ascii="Arial" w:hAnsi="Arial" w:cs="Arial"/>
          <w:b/>
          <w:sz w:val="24"/>
          <w:szCs w:val="24"/>
        </w:rPr>
        <w:t xml:space="preserve">                             </w:t>
      </w:r>
      <w:r>
        <w:rPr>
          <w:rFonts w:hint="eastAsia" w:ascii="Arial" w:hAnsi="Arial" w:cs="Arial"/>
          <w:b/>
          <w:sz w:val="24"/>
          <w:szCs w:val="24"/>
          <w:lang w:val="en-US" w:eastAsia="zh-CN"/>
        </w:rPr>
        <w:t xml:space="preserve">   </w:t>
      </w:r>
      <w:r>
        <w:rPr>
          <w:rFonts w:hint="eastAsia" w:ascii="Arial" w:hAnsi="Arial" w:cs="Arial"/>
          <w:b/>
          <w:sz w:val="24"/>
          <w:szCs w:val="24"/>
        </w:rPr>
        <w:t>R4-2</w:t>
      </w:r>
      <w:r>
        <w:rPr>
          <w:rFonts w:hint="eastAsia" w:ascii="Arial" w:hAnsi="Arial" w:cs="Arial"/>
          <w:b/>
          <w:sz w:val="24"/>
          <w:szCs w:val="24"/>
          <w:lang w:val="en-US" w:eastAsia="zh-CN"/>
        </w:rPr>
        <w:t>412388</w:t>
      </w:r>
      <w:r>
        <w:rPr>
          <w:rFonts w:hint="eastAsia" w:ascii="Arial" w:hAnsi="Arial" w:cs="Arial"/>
          <w:b/>
          <w:sz w:val="24"/>
          <w:szCs w:val="24"/>
        </w:rPr>
        <w:t xml:space="preserve">                         </w:t>
      </w:r>
    </w:p>
    <w:p>
      <w:pPr>
        <w:keepNext w:val="0"/>
        <w:keepLines w:val="0"/>
        <w:pageBreakBefore w:val="0"/>
        <w:widowControl w:val="0"/>
        <w:tabs>
          <w:tab w:val="left" w:pos="1985"/>
        </w:tabs>
        <w:kinsoku/>
        <w:wordWrap/>
        <w:overflowPunct/>
        <w:topLinePunct w:val="0"/>
        <w:autoSpaceDE/>
        <w:autoSpaceDN/>
        <w:bidi w:val="0"/>
        <w:adjustRightInd/>
        <w:snapToGrid/>
        <w:spacing w:before="157" w:beforeLines="50" w:after="0" w:afterLines="0" w:line="240" w:lineRule="auto"/>
        <w:ind w:left="1979" w:hanging="1979"/>
        <w:textAlignment w:val="auto"/>
        <w:outlineLvl w:val="9"/>
        <w:rPr>
          <w:rFonts w:hint="eastAsia" w:ascii="Arial" w:hAnsi="Arial" w:eastAsia="宋体" w:cs="Arial"/>
          <w:b/>
          <w:sz w:val="24"/>
          <w:szCs w:val="24"/>
          <w:lang w:eastAsia="zh-CN"/>
        </w:rPr>
      </w:pPr>
      <w:r>
        <w:rPr>
          <w:rFonts w:hint="eastAsia" w:ascii="Arial" w:hAnsi="Arial" w:eastAsia="宋体" w:cs="Arial"/>
          <w:b/>
          <w:sz w:val="24"/>
          <w:szCs w:val="24"/>
          <w:lang w:eastAsia="zh-CN"/>
        </w:rPr>
        <w:t>Maastricht, Netherlands, 19th – 23rd August, 2024</w:t>
      </w:r>
    </w:p>
    <w:p>
      <w:pPr>
        <w:tabs>
          <w:tab w:val="left" w:pos="1985"/>
        </w:tabs>
        <w:spacing w:before="0" w:beforeLines="0" w:after="0" w:afterLines="0" w:line="240" w:lineRule="auto"/>
        <w:ind w:left="1980" w:hanging="1980"/>
        <w:outlineLvl w:val="9"/>
        <w:rPr>
          <w:rFonts w:hint="eastAsia" w:ascii="Arial" w:hAnsi="Arial" w:eastAsia="宋体" w:cs="Arial"/>
          <w:b/>
          <w:sz w:val="24"/>
          <w:szCs w:val="24"/>
          <w:lang w:eastAsia="zh-CN"/>
        </w:rPr>
      </w:pPr>
    </w:p>
    <w:p>
      <w:pPr>
        <w:tabs>
          <w:tab w:val="left" w:pos="1985"/>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eastAsia="宋体" w:cs="Arial"/>
          <w:b/>
          <w:sz w:val="24"/>
          <w:szCs w:val="24"/>
          <w:lang w:val="en-US" w:eastAsia="zh-CN"/>
        </w:rPr>
        <w:t>8.5.3</w:t>
      </w:r>
    </w:p>
    <w:p>
      <w:pPr>
        <w:tabs>
          <w:tab w:val="left" w:pos="1985"/>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r>
        <w:rPr>
          <w:rFonts w:hint="eastAsia" w:ascii="Arial" w:hAnsi="Arial" w:cs="Arial"/>
          <w:b/>
          <w:sz w:val="24"/>
          <w:szCs w:val="24"/>
          <w:lang w:val="en-US" w:eastAsia="zh-CN"/>
        </w:rPr>
        <w:t>, Sanechips</w:t>
      </w:r>
    </w:p>
    <w:p>
      <w:pPr>
        <w:tabs>
          <w:tab w:val="left" w:pos="1980"/>
        </w:tabs>
        <w:spacing w:after="180"/>
        <w:ind w:left="1980" w:hanging="1980"/>
        <w:rPr>
          <w:rFonts w:hint="default" w:ascii="Arial" w:hAnsi="Arial" w:cs="Arial"/>
          <w:b/>
          <w:sz w:val="24"/>
          <w:szCs w:val="24"/>
          <w:lang w:val="en-US"/>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ascii="Arial" w:hAnsi="Arial" w:eastAsia="MS Mincho" w:cs="Arial"/>
          <w:b/>
          <w:sz w:val="24"/>
          <w:szCs w:val="24"/>
          <w:lang w:val="en-US" w:eastAsia="en-US"/>
        </w:rPr>
        <w:t>Discussion on</w:t>
      </w:r>
      <w:r>
        <w:rPr>
          <w:rFonts w:hint="eastAsia" w:ascii="Arial" w:hAnsi="Arial" w:eastAsia="宋体" w:cs="Arial"/>
          <w:b/>
          <w:sz w:val="24"/>
          <w:szCs w:val="24"/>
          <w:lang w:val="en-US" w:eastAsia="zh-CN"/>
        </w:rPr>
        <w:t xml:space="preserve"> intra-band non-collocated EN-DC and NR-CA</w:t>
      </w:r>
    </w:p>
    <w:p>
      <w:pPr>
        <w:tabs>
          <w:tab w:val="left" w:pos="1980"/>
        </w:tabs>
        <w:spacing w:after="180"/>
        <w:ind w:left="1980" w:hanging="1980"/>
        <w:outlineLvl w:val="9"/>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0" w:name="DocumentFor"/>
      <w:bookmarkEnd w:id="0"/>
      <w:r>
        <w:rPr>
          <w:rFonts w:hint="eastAsia" w:ascii="Arial" w:hAnsi="Arial" w:cs="Arial"/>
          <w:b/>
          <w:sz w:val="24"/>
          <w:szCs w:val="24"/>
          <w:lang w:val="en-US" w:eastAsia="zh-CN"/>
        </w:rPr>
        <w:t>Approval</w:t>
      </w:r>
      <w:r>
        <w:rPr>
          <w:rFonts w:hint="eastAsia" w:ascii="Arial" w:hAnsi="Arial" w:cs="Arial"/>
          <w:b/>
          <w:sz w:val="24"/>
          <w:szCs w:val="24"/>
        </w:rPr>
        <w:t xml:space="preserve">   </w:t>
      </w:r>
    </w:p>
    <w:p>
      <w:pPr>
        <w:pStyle w:val="54"/>
        <w:tabs>
          <w:tab w:val="left" w:pos="567"/>
          <w:tab w:val="clear" w:pos="1985"/>
        </w:tabs>
        <w:adjustRightInd w:val="0"/>
        <w:ind w:left="510" w:hanging="510"/>
      </w:pPr>
      <w:r>
        <w:t>Introduction</w:t>
      </w:r>
    </w:p>
    <w:p>
      <w:pPr>
        <w:adjustRightInd w:val="0"/>
        <w:snapToGrid w:val="0"/>
        <w:spacing w:before="180" w:after="120"/>
        <w:rPr>
          <w:rFonts w:eastAsia="宋体"/>
          <w:sz w:val="22"/>
          <w:lang w:eastAsia="zh-CN"/>
        </w:rPr>
      </w:pPr>
      <w:r>
        <w:rPr>
          <w:rFonts w:eastAsia="宋体"/>
          <w:sz w:val="22"/>
          <w:lang w:eastAsia="zh-CN"/>
        </w:rPr>
        <w:t>For intra-band non-collocated EN-DC/NR-CA</w:t>
      </w:r>
      <w:r>
        <w:rPr>
          <w:rFonts w:hint="eastAsia" w:eastAsia="宋体"/>
          <w:sz w:val="22"/>
          <w:lang w:val="en-US" w:eastAsia="zh-CN"/>
        </w:rPr>
        <w:t xml:space="preserve"> deployment</w:t>
      </w:r>
      <w:r>
        <w:rPr>
          <w:rFonts w:eastAsia="宋体"/>
          <w:sz w:val="22"/>
          <w:lang w:eastAsia="zh-CN"/>
        </w:rPr>
        <w:t xml:space="preserve">, RAN4 has </w:t>
      </w:r>
      <w:r>
        <w:rPr>
          <w:rFonts w:hint="eastAsia" w:eastAsia="宋体"/>
          <w:sz w:val="22"/>
          <w:lang w:val="en-US" w:eastAsia="zh-CN"/>
        </w:rPr>
        <w:t xml:space="preserve">diasussed and </w:t>
      </w:r>
      <w:r>
        <w:rPr>
          <w:rFonts w:eastAsia="宋体"/>
          <w:sz w:val="22"/>
          <w:lang w:eastAsia="zh-CN"/>
        </w:rPr>
        <w:t>achieved agreements on MRTD/MTTD requirements, interruption requirements and scheduling restriction requirements for Type 2 UE</w:t>
      </w:r>
      <w:r>
        <w:rPr>
          <w:rFonts w:hint="eastAsia" w:eastAsia="宋体"/>
          <w:sz w:val="22"/>
          <w:lang w:val="en-US" w:eastAsia="zh-CN"/>
        </w:rPr>
        <w:t xml:space="preserve"> in Rel-18</w:t>
      </w:r>
      <w:r>
        <w:rPr>
          <w:rFonts w:eastAsia="宋体"/>
          <w:sz w:val="22"/>
          <w:lang w:eastAsia="zh-CN"/>
        </w:rPr>
        <w:t xml:space="preserve">. </w:t>
      </w:r>
      <w:r>
        <w:rPr>
          <w:rFonts w:hint="eastAsia" w:eastAsia="宋体"/>
          <w:sz w:val="22"/>
          <w:lang w:val="en-US" w:eastAsia="zh-CN"/>
        </w:rPr>
        <w:t>In Rel-19, we should focus on Type 4 UE accroding to WID</w:t>
      </w:r>
      <w:r>
        <w:rPr>
          <w:rFonts w:hint="eastAsia"/>
          <w:sz w:val="22"/>
          <w:lang w:val="en-US" w:eastAsia="zh-CN"/>
        </w:rPr>
        <w:t xml:space="preserve"> [1]</w:t>
      </w:r>
      <w:r>
        <w:rPr>
          <w:rFonts w:hint="eastAsia" w:eastAsia="宋体"/>
          <w:sz w:val="22"/>
          <w:lang w:val="en-US" w:eastAsia="zh-CN"/>
        </w:rPr>
        <w:t xml:space="preserve"> to better support the intra-band non-collocated EN-DC/NR-CA deployment scenarios</w:t>
      </w:r>
      <w:r>
        <w:rPr>
          <w:rFonts w:eastAsia="宋体"/>
          <w:sz w:val="22"/>
          <w:lang w:eastAsia="zh-CN"/>
        </w:rPr>
        <w:t xml:space="preserve">. </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tcPr>
          <w:p>
            <w:pPr>
              <w:rPr>
                <w:rFonts w:hint="eastAsia"/>
                <w:lang w:eastAsia="zh-CN"/>
              </w:rPr>
            </w:pPr>
            <w:r>
              <w:rPr>
                <w:rFonts w:hint="eastAsia"/>
                <w:lang w:eastAsia="zh-CN"/>
              </w:rPr>
              <w:t>T</w:t>
            </w:r>
            <w:r>
              <w:rPr>
                <w:lang w:eastAsia="zh-CN"/>
              </w:rPr>
              <w:t>he core part of the work item includes:</w:t>
            </w:r>
          </w:p>
          <w:p>
            <w:pPr>
              <w:pStyle w:val="33"/>
              <w:numPr>
                <w:ilvl w:val="0"/>
                <w:numId w:val="5"/>
              </w:numPr>
              <w:ind w:firstLineChars="0"/>
              <w:rPr>
                <w:rFonts w:eastAsia="等线"/>
                <w:lang w:eastAsia="zh-CN"/>
              </w:rPr>
            </w:pPr>
            <w:r>
              <w:rPr>
                <w:rFonts w:eastAsia="等线"/>
                <w:lang w:eastAsia="zh-CN"/>
              </w:rPr>
              <w:t>Specify the core requirements for type 4a/</w:t>
            </w:r>
            <w:r>
              <w:rPr>
                <w:rFonts w:hint="eastAsia" w:eastAsia="Yu Mincho"/>
                <w:lang w:eastAsia="ja-JP"/>
              </w:rPr>
              <w:t>4</w:t>
            </w:r>
            <w:r>
              <w:rPr>
                <w:rFonts w:eastAsia="等线"/>
                <w:lang w:eastAsia="zh-CN"/>
              </w:rPr>
              <w:t>b capable FWA UE that supports non-co-located scenarios for FR1 inter-band non-contiguous EN-DC with overlapping or partially overlapping bands and/or FR1 intra-band non-contiguous NR-CA for up to 4-layer DL MIMO per CC, where MRTD&gt;CP is assumed.</w:t>
            </w:r>
          </w:p>
          <w:p>
            <w:pPr>
              <w:pStyle w:val="33"/>
              <w:numPr>
                <w:ilvl w:val="1"/>
                <w:numId w:val="5"/>
              </w:numPr>
              <w:overflowPunct w:val="0"/>
              <w:autoSpaceDE w:val="0"/>
              <w:autoSpaceDN w:val="0"/>
              <w:adjustRightInd w:val="0"/>
              <w:spacing w:before="0" w:after="180"/>
              <w:ind w:firstLineChars="0"/>
              <w:textAlignment w:val="baseline"/>
              <w:rPr>
                <w:rFonts w:eastAsia="等线"/>
                <w:lang w:eastAsia="zh-CN"/>
              </w:rPr>
            </w:pPr>
            <w:r>
              <w:rPr>
                <w:rFonts w:eastAsia="等线"/>
                <w:lang w:eastAsia="zh-CN"/>
              </w:rPr>
              <w:t>RF power imbalance requirements of up to 25dB</w:t>
            </w:r>
          </w:p>
          <w:p>
            <w:pPr>
              <w:pStyle w:val="33"/>
              <w:numPr>
                <w:ilvl w:val="1"/>
                <w:numId w:val="5"/>
              </w:numPr>
              <w:overflowPunct w:val="0"/>
              <w:autoSpaceDE w:val="0"/>
              <w:autoSpaceDN w:val="0"/>
              <w:adjustRightInd w:val="0"/>
              <w:spacing w:before="0" w:after="180"/>
              <w:ind w:firstLineChars="0"/>
              <w:textAlignment w:val="baseline"/>
              <w:rPr>
                <w:rFonts w:eastAsia="等线"/>
                <w:highlight w:val="cyan"/>
                <w:lang w:eastAsia="zh-CN"/>
              </w:rPr>
            </w:pPr>
            <w:r>
              <w:rPr>
                <w:rFonts w:eastAsia="等线"/>
                <w:highlight w:val="cyan"/>
                <w:lang w:eastAsia="zh-CN"/>
              </w:rPr>
              <w:t>RRM requirements including MTTD and MRTD requirements and other identified requirement such as scheduling restriction/availability, SCell operation related delay and interruption.</w:t>
            </w:r>
          </w:p>
          <w:p>
            <w:pPr>
              <w:widowControl w:val="0"/>
              <w:numPr>
                <w:ilvl w:val="1"/>
                <w:numId w:val="5"/>
              </w:numPr>
              <w:overflowPunct/>
              <w:autoSpaceDE/>
              <w:autoSpaceDN/>
              <w:adjustRightInd/>
              <w:spacing w:after="0"/>
              <w:jc w:val="both"/>
              <w:textAlignment w:val="auto"/>
              <w:rPr>
                <w:kern w:val="2"/>
                <w:lang w:val="en-US" w:eastAsia="zh-CN"/>
              </w:rPr>
            </w:pPr>
            <w:r>
              <w:rPr>
                <w:kern w:val="2"/>
                <w:lang w:val="en-US" w:eastAsia="zh-CN"/>
              </w:rPr>
              <w:t>Work is limited to EN-DC/NR-CA for bands 42, n77/n78</w:t>
            </w:r>
          </w:p>
          <w:p>
            <w:pPr>
              <w:numPr>
                <w:ilvl w:val="0"/>
                <w:numId w:val="5"/>
              </w:numPr>
              <w:overflowPunct/>
              <w:autoSpaceDE/>
              <w:autoSpaceDN/>
              <w:adjustRightInd/>
              <w:spacing w:after="100"/>
              <w:textAlignment w:val="auto"/>
              <w:rPr>
                <w:rFonts w:ascii="Times" w:hAnsi="Times" w:eastAsia="Times New Roman" w:cs="Times"/>
                <w:lang w:val="en-US" w:eastAsia="zh-CN"/>
              </w:rPr>
            </w:pPr>
            <w:r>
              <w:rPr>
                <w:rFonts w:ascii="Times" w:hAnsi="Times" w:eastAsia="Times New Roman" w:cs="Times"/>
                <w:lang w:eastAsia="zh-CN"/>
              </w:rPr>
              <w:t>Discuss and if needed, specify the UE behavior when the UE supports type 4a/b but operates in co-located scenarios depending on whether network signaling is provided. R18 handling of UE behavior can be used as a reference.</w:t>
            </w:r>
          </w:p>
          <w:p>
            <w:pPr>
              <w:pStyle w:val="33"/>
              <w:numPr>
                <w:ilvl w:val="-1"/>
                <w:numId w:val="0"/>
              </w:numPr>
              <w:ind w:left="0" w:leftChars="0" w:firstLine="0" w:firstLineChars="0"/>
              <w:rPr>
                <w:lang w:val="en-US"/>
              </w:rPr>
            </w:pPr>
          </w:p>
        </w:tc>
      </w:tr>
    </w:tbl>
    <w:p>
      <w:pPr>
        <w:adjustRightInd w:val="0"/>
        <w:snapToGrid w:val="0"/>
        <w:spacing w:before="180" w:after="120"/>
        <w:rPr>
          <w:rFonts w:eastAsia="宋体"/>
          <w:sz w:val="22"/>
          <w:lang w:eastAsia="zh-CN"/>
        </w:rPr>
      </w:pPr>
      <w:r>
        <w:rPr>
          <w:rFonts w:eastAsia="宋体"/>
          <w:sz w:val="22"/>
          <w:lang w:eastAsia="zh-CN"/>
        </w:rPr>
        <w:t>In this contribution, we will provide the</w:t>
      </w:r>
      <w:r>
        <w:rPr>
          <w:rFonts w:hint="eastAsia" w:eastAsia="宋体"/>
          <w:sz w:val="22"/>
          <w:lang w:val="en-US" w:eastAsia="zh-CN"/>
        </w:rPr>
        <w:t xml:space="preserve"> </w:t>
      </w:r>
      <w:r>
        <w:rPr>
          <w:rFonts w:eastAsia="宋体"/>
          <w:sz w:val="22"/>
          <w:lang w:eastAsia="zh-CN"/>
        </w:rPr>
        <w:t>discussion on RRM impacts for intra-band non-collocated EN-DC/NR-CA</w:t>
      </w:r>
      <w:r>
        <w:rPr>
          <w:rFonts w:hint="eastAsia" w:eastAsia="宋体"/>
          <w:sz w:val="22"/>
          <w:lang w:val="en-US" w:eastAsia="zh-CN"/>
        </w:rPr>
        <w:t>, including MTTD and MRTD requirements and other identified requirement such as scheduling restriction/availability, SCell operation related delay and interruption</w:t>
      </w:r>
      <w:r>
        <w:rPr>
          <w:rFonts w:eastAsia="宋体"/>
          <w:sz w:val="22"/>
          <w:lang w:eastAsia="zh-CN"/>
        </w:rPr>
        <w:t>.</w:t>
      </w:r>
    </w:p>
    <w:p>
      <w:pPr>
        <w:pStyle w:val="54"/>
        <w:tabs>
          <w:tab w:val="left" w:pos="567"/>
          <w:tab w:val="clear" w:pos="1985"/>
        </w:tabs>
        <w:adjustRightInd w:val="0"/>
        <w:ind w:left="510" w:hanging="510"/>
        <w:rPr>
          <w:rFonts w:eastAsia="Times New Roman"/>
        </w:rPr>
      </w:pPr>
      <w:r>
        <w:rPr>
          <w:rFonts w:hint="eastAsia"/>
        </w:rPr>
        <w:t>Discussion</w:t>
      </w:r>
    </w:p>
    <w:p>
      <w:pPr>
        <w:adjustRightInd w:val="0"/>
        <w:snapToGrid w:val="0"/>
        <w:spacing w:before="180" w:beforeLines="-2147483648"/>
        <w:rPr>
          <w:rFonts w:hint="eastAsia"/>
          <w:sz w:val="21"/>
          <w:szCs w:val="21"/>
          <w:lang w:val="en-CA"/>
        </w:rPr>
      </w:pPr>
      <w:r>
        <w:rPr>
          <w:rFonts w:eastAsia="宋体"/>
          <w:sz w:val="22"/>
          <w:lang w:eastAsia="zh-CN"/>
        </w:rPr>
        <w:t>Based on the agreements in [</w:t>
      </w:r>
      <w:r>
        <w:rPr>
          <w:rFonts w:hint="eastAsia"/>
          <w:sz w:val="22"/>
          <w:lang w:val="en-US" w:eastAsia="zh-CN"/>
        </w:rPr>
        <w:t>2</w:t>
      </w:r>
      <w:r>
        <w:rPr>
          <w:rFonts w:eastAsia="宋体"/>
          <w:sz w:val="22"/>
          <w:lang w:eastAsia="zh-CN"/>
        </w:rPr>
        <w:t>], Type 3a/3b and Type 4a/4b are assumed</w:t>
      </w:r>
      <w:r>
        <w:rPr>
          <w:rFonts w:hint="eastAsia" w:eastAsia="宋体"/>
          <w:sz w:val="22"/>
          <w:lang w:eastAsia="zh-CN"/>
        </w:rPr>
        <w:t xml:space="preserve"> </w:t>
      </w:r>
      <w:r>
        <w:rPr>
          <w:rFonts w:eastAsia="宋体"/>
          <w:sz w:val="22"/>
          <w:lang w:eastAsia="zh-CN"/>
        </w:rPr>
        <w:t xml:space="preserve">for 4-layer MIMO case. The assumed UE architectures for </w:t>
      </w:r>
      <w:r>
        <w:rPr>
          <w:rFonts w:hint="eastAsia" w:eastAsia="宋体"/>
          <w:sz w:val="22"/>
          <w:lang w:val="en-US" w:eastAsia="zh-CN"/>
        </w:rPr>
        <w:t xml:space="preserve">different </w:t>
      </w:r>
      <w:r>
        <w:rPr>
          <w:rFonts w:eastAsia="宋体"/>
          <w:sz w:val="22"/>
          <w:lang w:eastAsia="zh-CN"/>
        </w:rPr>
        <w:t>Type</w:t>
      </w:r>
      <w:r>
        <w:rPr>
          <w:rFonts w:hint="eastAsia" w:eastAsia="宋体"/>
          <w:sz w:val="22"/>
          <w:lang w:val="en-US" w:eastAsia="zh-CN"/>
        </w:rPr>
        <w:t>s</w:t>
      </w:r>
      <w:r>
        <w:rPr>
          <w:rFonts w:eastAsia="宋体"/>
          <w:sz w:val="22"/>
          <w:lang w:eastAsia="zh-CN"/>
        </w:rPr>
        <w:t xml:space="preserve"> are listed as Table</w:t>
      </w:r>
      <w:r>
        <w:rPr>
          <w:rFonts w:hint="eastAsia"/>
          <w:sz w:val="22"/>
          <w:lang w:val="en-US" w:eastAsia="zh-CN"/>
        </w:rPr>
        <w:t>.</w:t>
      </w:r>
    </w:p>
    <w:tbl>
      <w:tblPr>
        <w:tblStyle w:val="21"/>
        <w:tblW w:w="9889" w:type="dxa"/>
        <w:jc w:val="center"/>
        <w:tblLayout w:type="autofit"/>
        <w:tblCellMar>
          <w:top w:w="0" w:type="dxa"/>
          <w:left w:w="108" w:type="dxa"/>
          <w:bottom w:w="0" w:type="dxa"/>
          <w:right w:w="108" w:type="dxa"/>
        </w:tblCellMar>
      </w:tblPr>
      <w:tblGrid>
        <w:gridCol w:w="498"/>
        <w:gridCol w:w="557"/>
        <w:gridCol w:w="411"/>
        <w:gridCol w:w="483"/>
        <w:gridCol w:w="604"/>
        <w:gridCol w:w="622"/>
        <w:gridCol w:w="429"/>
        <w:gridCol w:w="962"/>
        <w:gridCol w:w="1030"/>
        <w:gridCol w:w="973"/>
        <w:gridCol w:w="3320"/>
      </w:tblGrid>
      <w:tr>
        <w:tblPrEx>
          <w:tblCellMar>
            <w:top w:w="0" w:type="dxa"/>
            <w:left w:w="108" w:type="dxa"/>
            <w:bottom w:w="0" w:type="dxa"/>
            <w:right w:w="108" w:type="dxa"/>
          </w:tblCellMar>
        </w:tblPrEx>
        <w:trPr>
          <w:trHeight w:val="70" w:hRule="atLeast"/>
          <w:jc w:val="center"/>
        </w:trPr>
        <w:tc>
          <w:tcPr>
            <w:tcW w:w="498" w:type="dxa"/>
            <w:tcBorders>
              <w:top w:val="single" w:color="auto" w:sz="4" w:space="0"/>
              <w:left w:val="single" w:color="auto" w:sz="4" w:space="0"/>
              <w:bottom w:val="single" w:color="auto" w:sz="4" w:space="0"/>
              <w:right w:val="single" w:color="auto" w:sz="4" w:space="0"/>
            </w:tcBorders>
            <w:shd w:val="clear" w:color="auto" w:fill="DEEAF6"/>
          </w:tcPr>
          <w:p>
            <w:pPr>
              <w:spacing w:after="0"/>
              <w:rPr>
                <w:rFonts w:ascii="Calibri" w:hAnsi="Calibri" w:eastAsia="宋体" w:cs="Calibri"/>
                <w:b/>
                <w:bCs/>
                <w:color w:val="000000"/>
                <w:sz w:val="14"/>
                <w:szCs w:val="18"/>
              </w:rPr>
            </w:pPr>
            <w:bookmarkStart w:id="1" w:name="_Hlk116987019"/>
            <w:r>
              <w:rPr>
                <w:rFonts w:ascii="Calibri" w:hAnsi="Calibri" w:eastAsia="宋体" w:cs="Calibri"/>
                <w:b/>
                <w:bCs/>
                <w:color w:val="000000"/>
                <w:sz w:val="14"/>
                <w:szCs w:val="18"/>
              </w:rPr>
              <w:t>UE</w:t>
            </w:r>
          </w:p>
          <w:p>
            <w:pPr>
              <w:spacing w:after="0"/>
              <w:rPr>
                <w:rFonts w:ascii="Calibri" w:hAnsi="Calibri" w:eastAsia="宋体" w:cs="Calibri"/>
                <w:b/>
                <w:bCs/>
                <w:color w:val="000000"/>
                <w:sz w:val="14"/>
                <w:szCs w:val="18"/>
              </w:rPr>
            </w:pPr>
            <w:r>
              <w:rPr>
                <w:rFonts w:ascii="Calibri" w:hAnsi="Calibri" w:eastAsia="宋体" w:cs="Calibri"/>
                <w:b/>
                <w:bCs/>
                <w:color w:val="000000"/>
                <w:sz w:val="14"/>
                <w:szCs w:val="18"/>
              </w:rPr>
              <w:t>Type</w:t>
            </w:r>
          </w:p>
        </w:tc>
        <w:tc>
          <w:tcPr>
            <w:tcW w:w="557" w:type="dxa"/>
            <w:tcBorders>
              <w:top w:val="single" w:color="auto" w:sz="4" w:space="0"/>
              <w:left w:val="nil"/>
              <w:bottom w:val="single" w:color="auto" w:sz="4" w:space="0"/>
              <w:right w:val="single" w:color="auto" w:sz="4" w:space="0"/>
            </w:tcBorders>
            <w:shd w:val="clear" w:color="auto" w:fill="DEEAF6"/>
            <w:noWrap/>
            <w:vAlign w:val="bottom"/>
          </w:tcPr>
          <w:p>
            <w:pPr>
              <w:spacing w:after="0"/>
              <w:rPr>
                <w:rFonts w:ascii="Calibri" w:hAnsi="Calibri" w:eastAsia="宋体" w:cs="Calibri"/>
                <w:b/>
                <w:color w:val="000000"/>
                <w:sz w:val="14"/>
                <w:szCs w:val="18"/>
              </w:rPr>
            </w:pPr>
          </w:p>
          <w:p>
            <w:pPr>
              <w:spacing w:after="0"/>
              <w:rPr>
                <w:rFonts w:ascii="Calibri" w:hAnsi="Calibri" w:eastAsia="宋体" w:cs="Calibri"/>
                <w:b/>
                <w:color w:val="000000"/>
                <w:sz w:val="14"/>
                <w:szCs w:val="18"/>
              </w:rPr>
            </w:pPr>
            <w:r>
              <w:rPr>
                <w:rFonts w:ascii="Calibri" w:hAnsi="Calibri" w:eastAsia="宋体" w:cs="Calibri"/>
                <w:b/>
                <w:color w:val="000000"/>
                <w:sz w:val="14"/>
                <w:szCs w:val="18"/>
              </w:rPr>
              <w:t>CC#</w:t>
            </w:r>
          </w:p>
        </w:tc>
        <w:tc>
          <w:tcPr>
            <w:tcW w:w="894" w:type="dxa"/>
            <w:gridSpan w:val="2"/>
            <w:tcBorders>
              <w:top w:val="single" w:color="auto" w:sz="4" w:space="0"/>
              <w:left w:val="nil"/>
              <w:bottom w:val="single" w:color="auto" w:sz="4" w:space="0"/>
              <w:right w:val="single" w:color="auto" w:sz="4" w:space="0"/>
            </w:tcBorders>
            <w:shd w:val="clear" w:color="auto" w:fill="DEEAF6"/>
            <w:vAlign w:val="bottom"/>
          </w:tcPr>
          <w:p>
            <w:pPr>
              <w:spacing w:after="0"/>
              <w:jc w:val="center"/>
              <w:rPr>
                <w:rFonts w:ascii="Calibri" w:hAnsi="Calibri" w:eastAsia="宋体" w:cs="Calibri"/>
                <w:b/>
                <w:color w:val="000000"/>
                <w:sz w:val="14"/>
                <w:szCs w:val="18"/>
              </w:rPr>
            </w:pPr>
            <w:r>
              <w:rPr>
                <w:rFonts w:ascii="Calibri" w:hAnsi="Calibri" w:eastAsia="宋体" w:cs="Calibri"/>
                <w:b/>
                <w:color w:val="000000"/>
                <w:sz w:val="14"/>
                <w:szCs w:val="18"/>
              </w:rPr>
              <w:t>antenna</w:t>
            </w:r>
            <w:r>
              <w:rPr>
                <w:rFonts w:ascii="Calibri" w:hAnsi="Calibri" w:eastAsia="宋体" w:cs="Calibri"/>
                <w:b/>
                <w:color w:val="000000"/>
                <w:sz w:val="14"/>
                <w:szCs w:val="18"/>
              </w:rPr>
              <w:br w:type="textWrapping"/>
            </w:r>
            <w:r>
              <w:rPr>
                <w:rFonts w:ascii="Calibri" w:hAnsi="Calibri" w:eastAsia="宋体" w:cs="Calibri"/>
                <w:b/>
                <w:color w:val="000000"/>
                <w:sz w:val="14"/>
                <w:szCs w:val="18"/>
              </w:rPr>
              <w:t>/ LNA</w:t>
            </w:r>
          </w:p>
        </w:tc>
        <w:tc>
          <w:tcPr>
            <w:tcW w:w="604" w:type="dxa"/>
            <w:tcBorders>
              <w:top w:val="single" w:color="auto" w:sz="4" w:space="0"/>
              <w:left w:val="nil"/>
              <w:bottom w:val="single" w:color="auto" w:sz="4" w:space="0"/>
              <w:right w:val="single" w:color="auto" w:sz="4" w:space="0"/>
            </w:tcBorders>
            <w:shd w:val="clear" w:color="auto" w:fill="DEEAF6"/>
            <w:vAlign w:val="bottom"/>
          </w:tcPr>
          <w:p>
            <w:pPr>
              <w:spacing w:after="0"/>
              <w:jc w:val="center"/>
              <w:rPr>
                <w:rFonts w:ascii="Calibri" w:hAnsi="Calibri" w:eastAsia="宋体" w:cs="Calibri"/>
                <w:b/>
                <w:color w:val="000000"/>
                <w:sz w:val="14"/>
                <w:szCs w:val="18"/>
              </w:rPr>
            </w:pPr>
            <w:r>
              <w:rPr>
                <w:rFonts w:ascii="Calibri" w:hAnsi="Calibri" w:eastAsia="宋体" w:cs="Calibri"/>
                <w:b/>
                <w:color w:val="000000"/>
                <w:sz w:val="14"/>
                <w:szCs w:val="18"/>
              </w:rPr>
              <w:t>Mixer</w:t>
            </w:r>
          </w:p>
        </w:tc>
        <w:tc>
          <w:tcPr>
            <w:tcW w:w="622" w:type="dxa"/>
            <w:tcBorders>
              <w:top w:val="single" w:color="auto" w:sz="4" w:space="0"/>
              <w:left w:val="nil"/>
              <w:bottom w:val="single" w:color="auto" w:sz="4" w:space="0"/>
              <w:right w:val="single" w:color="auto" w:sz="4" w:space="0"/>
            </w:tcBorders>
            <w:shd w:val="clear" w:color="auto" w:fill="DEEAF6"/>
            <w:vAlign w:val="bottom"/>
          </w:tcPr>
          <w:p>
            <w:pPr>
              <w:spacing w:after="0"/>
              <w:jc w:val="center"/>
              <w:rPr>
                <w:rFonts w:ascii="Calibri" w:hAnsi="Calibri" w:eastAsia="宋体" w:cs="Calibri"/>
                <w:b/>
                <w:color w:val="000000"/>
                <w:sz w:val="14"/>
                <w:szCs w:val="18"/>
              </w:rPr>
            </w:pPr>
            <w:r>
              <w:rPr>
                <w:rFonts w:ascii="Calibri" w:hAnsi="Calibri" w:eastAsia="宋体" w:cs="Calibri"/>
                <w:b/>
                <w:color w:val="000000"/>
                <w:sz w:val="14"/>
                <w:szCs w:val="18"/>
              </w:rPr>
              <w:t>Analog</w:t>
            </w:r>
          </w:p>
          <w:p>
            <w:pPr>
              <w:spacing w:after="0"/>
              <w:jc w:val="center"/>
              <w:rPr>
                <w:rFonts w:ascii="Calibri" w:hAnsi="Calibri" w:eastAsia="宋体" w:cs="Calibri"/>
                <w:b/>
                <w:color w:val="000000"/>
                <w:sz w:val="14"/>
                <w:szCs w:val="18"/>
              </w:rPr>
            </w:pPr>
            <w:r>
              <w:rPr>
                <w:rFonts w:ascii="Calibri" w:hAnsi="Calibri" w:eastAsia="宋体" w:cs="Calibri"/>
                <w:b/>
                <w:color w:val="000000"/>
                <w:sz w:val="14"/>
                <w:szCs w:val="18"/>
              </w:rPr>
              <w:t>BB</w:t>
            </w:r>
          </w:p>
        </w:tc>
        <w:tc>
          <w:tcPr>
            <w:tcW w:w="429" w:type="dxa"/>
            <w:tcBorders>
              <w:top w:val="single" w:color="auto" w:sz="4" w:space="0"/>
              <w:left w:val="nil"/>
              <w:bottom w:val="single" w:color="auto" w:sz="4" w:space="0"/>
              <w:right w:val="single" w:color="auto" w:sz="4" w:space="0"/>
            </w:tcBorders>
            <w:shd w:val="clear" w:color="auto" w:fill="DEEAF6"/>
            <w:vAlign w:val="bottom"/>
          </w:tcPr>
          <w:p>
            <w:pPr>
              <w:spacing w:after="0"/>
              <w:jc w:val="center"/>
              <w:rPr>
                <w:rFonts w:ascii="Calibri" w:hAnsi="Calibri" w:eastAsia="宋体" w:cs="Calibri"/>
                <w:b/>
                <w:color w:val="000000"/>
                <w:sz w:val="14"/>
                <w:szCs w:val="18"/>
              </w:rPr>
            </w:pPr>
            <w:r>
              <w:rPr>
                <w:rFonts w:ascii="Calibri" w:hAnsi="Calibri" w:eastAsia="宋体" w:cs="Calibri"/>
                <w:b/>
                <w:color w:val="000000"/>
                <w:sz w:val="14"/>
                <w:szCs w:val="18"/>
              </w:rPr>
              <w:t>#Rx</w:t>
            </w:r>
          </w:p>
        </w:tc>
        <w:tc>
          <w:tcPr>
            <w:tcW w:w="962" w:type="dxa"/>
            <w:tcBorders>
              <w:top w:val="single" w:color="auto" w:sz="4" w:space="0"/>
              <w:left w:val="nil"/>
              <w:bottom w:val="single" w:color="auto" w:sz="4" w:space="0"/>
              <w:right w:val="single" w:color="auto" w:sz="4" w:space="0"/>
            </w:tcBorders>
            <w:shd w:val="clear" w:color="auto" w:fill="DEEAF6"/>
            <w:vAlign w:val="bottom"/>
          </w:tcPr>
          <w:p>
            <w:pPr>
              <w:spacing w:after="0"/>
              <w:rPr>
                <w:rFonts w:ascii="Calibri" w:hAnsi="Calibri" w:eastAsia="宋体" w:cs="Calibri"/>
                <w:b/>
                <w:color w:val="000000"/>
                <w:sz w:val="14"/>
                <w:szCs w:val="18"/>
              </w:rPr>
            </w:pPr>
            <w:r>
              <w:rPr>
                <w:rFonts w:ascii="Calibri" w:hAnsi="Calibri" w:eastAsia="宋体" w:cs="Calibri"/>
                <w:b/>
                <w:color w:val="000000"/>
                <w:sz w:val="14"/>
                <w:szCs w:val="18"/>
              </w:rPr>
              <w:t>Frequency</w:t>
            </w:r>
          </w:p>
          <w:p>
            <w:pPr>
              <w:spacing w:after="0"/>
              <w:rPr>
                <w:rFonts w:ascii="Calibri" w:hAnsi="Calibri" w:eastAsia="宋体" w:cs="Calibri"/>
                <w:b/>
                <w:color w:val="000000"/>
                <w:sz w:val="14"/>
                <w:szCs w:val="18"/>
              </w:rPr>
            </w:pPr>
            <w:r>
              <w:rPr>
                <w:rFonts w:ascii="Calibri" w:hAnsi="Calibri" w:eastAsia="宋体" w:cs="Calibri"/>
                <w:b/>
                <w:color w:val="000000"/>
                <w:sz w:val="14"/>
                <w:szCs w:val="18"/>
              </w:rPr>
              <w:t>Separation</w:t>
            </w:r>
          </w:p>
          <w:p>
            <w:pPr>
              <w:spacing w:after="0"/>
              <w:rPr>
                <w:rFonts w:ascii="Calibri" w:hAnsi="Calibri" w:eastAsia="宋体" w:cs="Calibri"/>
                <w:b/>
                <w:color w:val="000000"/>
                <w:sz w:val="14"/>
                <w:szCs w:val="18"/>
              </w:rPr>
            </w:pPr>
            <w:r>
              <w:rPr>
                <w:rFonts w:ascii="Calibri" w:hAnsi="Calibri" w:eastAsia="宋体" w:cs="Calibri"/>
                <w:b/>
                <w:color w:val="000000"/>
                <w:sz w:val="14"/>
                <w:szCs w:val="18"/>
              </w:rPr>
              <w:t>between 2cc</w:t>
            </w:r>
          </w:p>
        </w:tc>
        <w:tc>
          <w:tcPr>
            <w:tcW w:w="1030" w:type="dxa"/>
            <w:tcBorders>
              <w:top w:val="single" w:color="auto" w:sz="4" w:space="0"/>
              <w:left w:val="single" w:color="auto" w:sz="4" w:space="0"/>
              <w:bottom w:val="single" w:color="auto" w:sz="4" w:space="0"/>
              <w:right w:val="single" w:color="auto" w:sz="4" w:space="0"/>
            </w:tcBorders>
            <w:shd w:val="clear" w:color="auto" w:fill="DEEAF6"/>
          </w:tcPr>
          <w:p>
            <w:pPr>
              <w:spacing w:after="0"/>
              <w:rPr>
                <w:rFonts w:ascii="Calibri" w:hAnsi="Calibri" w:eastAsia="Yu Mincho" w:cs="Calibri"/>
                <w:b/>
                <w:color w:val="000000"/>
                <w:sz w:val="14"/>
                <w:szCs w:val="18"/>
                <w:lang w:eastAsia="ja-JP"/>
              </w:rPr>
            </w:pPr>
            <w:r>
              <w:rPr>
                <w:rFonts w:hint="eastAsia" w:ascii="Calibri" w:hAnsi="Calibri" w:eastAsia="Yu Mincho" w:cs="Calibri"/>
                <w:b/>
                <w:color w:val="000000"/>
                <w:sz w:val="14"/>
                <w:szCs w:val="18"/>
                <w:lang w:eastAsia="ja-JP"/>
              </w:rPr>
              <w:t>NRCA/EN</w:t>
            </w:r>
            <w:r>
              <w:rPr>
                <w:rFonts w:ascii="Calibri" w:hAnsi="Calibri" w:eastAsia="Yu Mincho" w:cs="Calibri"/>
                <w:b/>
                <w:color w:val="000000"/>
                <w:sz w:val="14"/>
                <w:szCs w:val="18"/>
                <w:lang w:eastAsia="ja-JP"/>
              </w:rPr>
              <w:t>DC</w:t>
            </w:r>
          </w:p>
        </w:tc>
        <w:tc>
          <w:tcPr>
            <w:tcW w:w="973" w:type="dxa"/>
            <w:tcBorders>
              <w:top w:val="single" w:color="auto" w:sz="4" w:space="0"/>
              <w:left w:val="single" w:color="auto" w:sz="4" w:space="0"/>
              <w:bottom w:val="single" w:color="auto" w:sz="4" w:space="0"/>
              <w:right w:val="single" w:color="auto" w:sz="4" w:space="0"/>
            </w:tcBorders>
            <w:shd w:val="clear" w:color="auto" w:fill="DEEAF6"/>
            <w:vAlign w:val="bottom"/>
          </w:tcPr>
          <w:p>
            <w:pPr>
              <w:spacing w:after="0"/>
              <w:rPr>
                <w:rFonts w:ascii="Calibri" w:hAnsi="Calibri" w:eastAsia="Yu Mincho" w:cs="Calibri"/>
                <w:b/>
                <w:color w:val="000000"/>
                <w:sz w:val="14"/>
                <w:szCs w:val="18"/>
                <w:lang w:eastAsia="ja-JP"/>
              </w:rPr>
            </w:pPr>
            <w:r>
              <w:rPr>
                <w:rFonts w:hint="eastAsia" w:ascii="Calibri" w:hAnsi="Calibri" w:eastAsia="Yu Mincho" w:cs="Calibri"/>
                <w:b/>
                <w:color w:val="000000"/>
                <w:sz w:val="14"/>
                <w:szCs w:val="18"/>
                <w:lang w:eastAsia="ja-JP"/>
              </w:rPr>
              <w:t>p</w:t>
            </w:r>
            <w:r>
              <w:rPr>
                <w:rFonts w:ascii="Calibri" w:hAnsi="Calibri" w:eastAsia="Yu Mincho" w:cs="Calibri"/>
                <w:b/>
                <w:color w:val="000000"/>
                <w:sz w:val="14"/>
                <w:szCs w:val="18"/>
                <w:lang w:eastAsia="ja-JP"/>
              </w:rPr>
              <w:t>ower</w:t>
            </w:r>
          </w:p>
          <w:p>
            <w:pPr>
              <w:spacing w:after="0"/>
              <w:rPr>
                <w:rFonts w:ascii="Calibri" w:hAnsi="Calibri" w:eastAsia="宋体" w:cs="Calibri"/>
                <w:b/>
                <w:color w:val="000000"/>
                <w:sz w:val="14"/>
                <w:szCs w:val="18"/>
              </w:rPr>
            </w:pPr>
            <w:r>
              <w:rPr>
                <w:rFonts w:ascii="Calibri" w:hAnsi="Calibri" w:eastAsia="宋体" w:cs="Calibri"/>
                <w:b/>
                <w:color w:val="000000"/>
                <w:sz w:val="14"/>
                <w:szCs w:val="18"/>
              </w:rPr>
              <w:t>imbalance</w:t>
            </w:r>
          </w:p>
        </w:tc>
        <w:tc>
          <w:tcPr>
            <w:tcW w:w="3320" w:type="dxa"/>
            <w:tcBorders>
              <w:top w:val="single" w:color="auto" w:sz="4" w:space="0"/>
              <w:left w:val="nil"/>
              <w:bottom w:val="single" w:color="auto" w:sz="4" w:space="0"/>
              <w:right w:val="single" w:color="auto" w:sz="4" w:space="0"/>
            </w:tcBorders>
            <w:shd w:val="clear" w:color="auto" w:fill="DEEAF6"/>
            <w:noWrap/>
            <w:vAlign w:val="bottom"/>
          </w:tcPr>
          <w:p>
            <w:pPr>
              <w:spacing w:after="0"/>
              <w:rPr>
                <w:rFonts w:ascii="Calibri" w:hAnsi="Calibri" w:eastAsia="宋体" w:cs="Calibri"/>
                <w:b/>
                <w:color w:val="000000"/>
                <w:sz w:val="14"/>
                <w:szCs w:val="18"/>
              </w:rPr>
            </w:pPr>
            <w:r>
              <w:rPr>
                <w:rFonts w:ascii="Calibri" w:hAnsi="Calibri" w:eastAsia="宋体" w:cs="Calibri"/>
                <w:b/>
                <w:color w:val="000000"/>
                <w:sz w:val="14"/>
                <w:szCs w:val="18"/>
              </w:rPr>
              <w:t>comment</w:t>
            </w:r>
          </w:p>
        </w:tc>
      </w:tr>
      <w:tr>
        <w:tblPrEx>
          <w:tblCellMar>
            <w:top w:w="0" w:type="dxa"/>
            <w:left w:w="108" w:type="dxa"/>
            <w:bottom w:w="0" w:type="dxa"/>
            <w:right w:w="108" w:type="dxa"/>
          </w:tblCellMar>
        </w:tblPrEx>
        <w:trPr>
          <w:trHeight w:val="70" w:hRule="atLeast"/>
          <w:jc w:val="center"/>
        </w:trPr>
        <w:tc>
          <w:tcPr>
            <w:tcW w:w="498" w:type="dxa"/>
            <w:vMerge w:val="restart"/>
            <w:tcBorders>
              <w:top w:val="nil"/>
              <w:left w:val="single" w:color="auto" w:sz="4" w:space="0"/>
              <w:right w:val="single" w:color="auto" w:sz="4" w:space="0"/>
            </w:tcBorders>
            <w:shd w:val="clear" w:color="auto" w:fill="BFBFBF"/>
          </w:tcPr>
          <w:p>
            <w:pPr>
              <w:spacing w:after="0"/>
              <w:jc w:val="center"/>
              <w:rPr>
                <w:rFonts w:ascii="Calibri" w:hAnsi="Calibri" w:eastAsia="宋体" w:cs="Calibri"/>
                <w:b/>
                <w:bCs/>
                <w:color w:val="000000"/>
                <w:sz w:val="14"/>
                <w:szCs w:val="18"/>
              </w:rPr>
            </w:pPr>
            <w:r>
              <w:rPr>
                <w:rFonts w:ascii="Calibri" w:hAnsi="Calibri" w:eastAsia="宋体" w:cs="Calibri"/>
                <w:b/>
                <w:bCs/>
                <w:color w:val="000000"/>
                <w:sz w:val="14"/>
                <w:szCs w:val="18"/>
              </w:rPr>
              <w:t>1</w:t>
            </w:r>
          </w:p>
        </w:tc>
        <w:tc>
          <w:tcPr>
            <w:tcW w:w="557" w:type="dxa"/>
            <w:tcBorders>
              <w:top w:val="nil"/>
              <w:left w:val="nil"/>
              <w:bottom w:val="single" w:color="auto" w:sz="4" w:space="0"/>
              <w:right w:val="single" w:color="auto" w:sz="4" w:space="0"/>
            </w:tcBorders>
            <w:shd w:val="clear" w:color="auto" w:fill="BFBFBF"/>
            <w:noWrap/>
            <w:vAlign w:val="bottom"/>
          </w:tcPr>
          <w:p>
            <w:pPr>
              <w:spacing w:after="0"/>
              <w:jc w:val="center"/>
              <w:rPr>
                <w:rFonts w:ascii="Calibri" w:hAnsi="Calibri" w:eastAsia="宋体" w:cs="Calibri"/>
                <w:color w:val="000000"/>
                <w:sz w:val="14"/>
                <w:szCs w:val="18"/>
              </w:rPr>
            </w:pPr>
            <w:r>
              <w:rPr>
                <w:rFonts w:ascii="Calibri" w:hAnsi="Calibri" w:eastAsia="宋体" w:cs="Calibri"/>
                <w:color w:val="000000"/>
                <w:sz w:val="14"/>
                <w:szCs w:val="18"/>
              </w:rPr>
              <w:t>1</w:t>
            </w:r>
          </w:p>
        </w:tc>
        <w:tc>
          <w:tcPr>
            <w:tcW w:w="894" w:type="dxa"/>
            <w:gridSpan w:val="2"/>
            <w:vMerge w:val="restart"/>
            <w:tcBorders>
              <w:top w:val="nil"/>
              <w:left w:val="single" w:color="auto" w:sz="4" w:space="0"/>
              <w:bottom w:val="single" w:color="auto" w:sz="4" w:space="0"/>
              <w:right w:val="single" w:color="auto" w:sz="4" w:space="0"/>
            </w:tcBorders>
            <w:shd w:val="clear" w:color="auto" w:fill="BFBFBF"/>
            <w:vAlign w:val="bottom"/>
          </w:tcPr>
          <w:p>
            <w:pPr>
              <w:spacing w:after="0"/>
              <w:jc w:val="center"/>
              <w:rPr>
                <w:rFonts w:ascii="Calibri" w:hAnsi="Calibri" w:eastAsia="宋体" w:cs="Calibri"/>
                <w:color w:val="000000"/>
                <w:sz w:val="14"/>
                <w:szCs w:val="18"/>
              </w:rPr>
            </w:pPr>
            <w:r>
              <w:rPr>
                <w:rFonts w:ascii="Calibri" w:hAnsi="Calibri" w:eastAsia="宋体" w:cs="Calibri"/>
                <w:color w:val="000000"/>
                <w:sz w:val="14"/>
                <w:szCs w:val="18"/>
              </w:rPr>
              <w:t>4</w:t>
            </w:r>
            <w:r>
              <w:rPr>
                <w:rFonts w:ascii="Calibri" w:hAnsi="Calibri" w:eastAsia="宋体" w:cs="Calibri"/>
                <w:color w:val="000000"/>
                <w:sz w:val="14"/>
                <w:szCs w:val="18"/>
              </w:rPr>
              <w:br w:type="textWrapping"/>
            </w:r>
            <w:r>
              <w:rPr>
                <w:rFonts w:ascii="Calibri" w:hAnsi="Calibri" w:eastAsia="宋体" w:cs="Calibri"/>
                <w:color w:val="000000"/>
                <w:sz w:val="14"/>
                <w:szCs w:val="18"/>
              </w:rPr>
              <w:t>shared</w:t>
            </w:r>
          </w:p>
        </w:tc>
        <w:tc>
          <w:tcPr>
            <w:tcW w:w="604" w:type="dxa"/>
            <w:vMerge w:val="restart"/>
            <w:tcBorders>
              <w:top w:val="nil"/>
              <w:left w:val="single" w:color="auto" w:sz="4" w:space="0"/>
              <w:bottom w:val="single" w:color="auto" w:sz="4" w:space="0"/>
              <w:right w:val="single" w:color="auto" w:sz="4" w:space="0"/>
            </w:tcBorders>
            <w:shd w:val="clear" w:color="auto" w:fill="BFBFBF"/>
            <w:vAlign w:val="bottom"/>
          </w:tcPr>
          <w:p>
            <w:pPr>
              <w:spacing w:after="0"/>
              <w:jc w:val="center"/>
              <w:rPr>
                <w:rFonts w:ascii="Calibri" w:hAnsi="Calibri" w:eastAsia="宋体" w:cs="Calibri"/>
                <w:color w:val="000000"/>
                <w:sz w:val="14"/>
                <w:szCs w:val="18"/>
              </w:rPr>
            </w:pPr>
            <w:r>
              <w:rPr>
                <w:rFonts w:ascii="Calibri" w:hAnsi="Calibri" w:eastAsia="宋体" w:cs="Calibri"/>
                <w:color w:val="000000"/>
                <w:sz w:val="14"/>
                <w:szCs w:val="18"/>
              </w:rPr>
              <w:t>4</w:t>
            </w:r>
            <w:r>
              <w:rPr>
                <w:rFonts w:ascii="Calibri" w:hAnsi="Calibri" w:eastAsia="宋体" w:cs="Calibri"/>
                <w:color w:val="000000"/>
                <w:sz w:val="14"/>
                <w:szCs w:val="18"/>
              </w:rPr>
              <w:br w:type="textWrapping"/>
            </w:r>
            <w:r>
              <w:rPr>
                <w:rFonts w:ascii="Calibri" w:hAnsi="Calibri" w:eastAsia="宋体" w:cs="Calibri"/>
                <w:color w:val="000000"/>
                <w:sz w:val="14"/>
                <w:szCs w:val="18"/>
              </w:rPr>
              <w:t>shared</w:t>
            </w:r>
          </w:p>
        </w:tc>
        <w:tc>
          <w:tcPr>
            <w:tcW w:w="622" w:type="dxa"/>
            <w:vMerge w:val="restart"/>
            <w:tcBorders>
              <w:top w:val="nil"/>
              <w:left w:val="single" w:color="auto" w:sz="4" w:space="0"/>
              <w:bottom w:val="single" w:color="auto" w:sz="4" w:space="0"/>
              <w:right w:val="single" w:color="auto" w:sz="4" w:space="0"/>
            </w:tcBorders>
            <w:shd w:val="clear" w:color="auto" w:fill="BFBFBF"/>
            <w:vAlign w:val="bottom"/>
          </w:tcPr>
          <w:p>
            <w:pPr>
              <w:spacing w:after="0"/>
              <w:jc w:val="center"/>
              <w:rPr>
                <w:rFonts w:ascii="Calibri" w:hAnsi="Calibri" w:eastAsia="宋体" w:cs="Calibri"/>
                <w:color w:val="000000"/>
                <w:sz w:val="14"/>
                <w:szCs w:val="18"/>
              </w:rPr>
            </w:pPr>
            <w:r>
              <w:rPr>
                <w:rFonts w:ascii="Calibri" w:hAnsi="Calibri" w:eastAsia="宋体" w:cs="Calibri"/>
                <w:color w:val="000000"/>
                <w:sz w:val="14"/>
                <w:szCs w:val="18"/>
              </w:rPr>
              <w:t>4</w:t>
            </w:r>
            <w:r>
              <w:rPr>
                <w:rFonts w:ascii="Calibri" w:hAnsi="Calibri" w:eastAsia="宋体" w:cs="Calibri"/>
                <w:color w:val="000000"/>
                <w:sz w:val="14"/>
                <w:szCs w:val="18"/>
              </w:rPr>
              <w:br w:type="textWrapping"/>
            </w:r>
            <w:r>
              <w:rPr>
                <w:rFonts w:ascii="Calibri" w:hAnsi="Calibri" w:eastAsia="宋体" w:cs="Calibri"/>
                <w:color w:val="000000"/>
                <w:sz w:val="14"/>
                <w:szCs w:val="18"/>
              </w:rPr>
              <w:t>shared</w:t>
            </w:r>
          </w:p>
        </w:tc>
        <w:tc>
          <w:tcPr>
            <w:tcW w:w="429" w:type="dxa"/>
            <w:tcBorders>
              <w:top w:val="nil"/>
              <w:left w:val="nil"/>
              <w:bottom w:val="single" w:color="auto" w:sz="4" w:space="0"/>
              <w:right w:val="single" w:color="auto" w:sz="4" w:space="0"/>
            </w:tcBorders>
            <w:shd w:val="clear" w:color="auto" w:fill="BFBFBF"/>
            <w:noWrap/>
            <w:vAlign w:val="bottom"/>
          </w:tcPr>
          <w:p>
            <w:pPr>
              <w:spacing w:after="0"/>
              <w:jc w:val="center"/>
              <w:rPr>
                <w:rFonts w:ascii="Calibri" w:hAnsi="Calibri" w:eastAsia="宋体" w:cs="Calibri"/>
                <w:color w:val="000000"/>
                <w:sz w:val="14"/>
                <w:szCs w:val="18"/>
              </w:rPr>
            </w:pPr>
            <w:r>
              <w:rPr>
                <w:rFonts w:ascii="Calibri" w:hAnsi="Calibri" w:eastAsia="宋体" w:cs="Calibri"/>
                <w:color w:val="000000"/>
                <w:sz w:val="14"/>
                <w:szCs w:val="18"/>
              </w:rPr>
              <w:t>4Rx</w:t>
            </w:r>
          </w:p>
        </w:tc>
        <w:tc>
          <w:tcPr>
            <w:tcW w:w="962" w:type="dxa"/>
            <w:vMerge w:val="restart"/>
            <w:tcBorders>
              <w:top w:val="nil"/>
              <w:left w:val="single" w:color="auto" w:sz="4" w:space="0"/>
              <w:right w:val="single" w:color="auto" w:sz="4" w:space="0"/>
            </w:tcBorders>
            <w:shd w:val="clear" w:color="auto" w:fill="BFBFBF"/>
            <w:vAlign w:val="bottom"/>
          </w:tcPr>
          <w:p>
            <w:pPr>
              <w:jc w:val="center"/>
              <w:textAlignment w:val="bottom"/>
              <w:rPr>
                <w:rFonts w:ascii="Calibri" w:hAnsi="Calibri" w:eastAsia="Yu Mincho" w:cs="Calibri"/>
                <w:sz w:val="12"/>
                <w:szCs w:val="13"/>
                <w:lang w:eastAsia="ja-JP"/>
              </w:rPr>
            </w:pPr>
            <w:r>
              <w:rPr>
                <w:rFonts w:ascii="Calibri" w:hAnsi="Calibri" w:eastAsia="宋体" w:cs="Calibri"/>
                <w:color w:val="000000"/>
                <w:sz w:val="14"/>
                <w:szCs w:val="18"/>
              </w:rPr>
              <w:t>≤ X MHz</w:t>
            </w:r>
          </w:p>
        </w:tc>
        <w:tc>
          <w:tcPr>
            <w:tcW w:w="1030" w:type="dxa"/>
            <w:vMerge w:val="restart"/>
            <w:tcBorders>
              <w:top w:val="nil"/>
              <w:left w:val="single" w:color="auto" w:sz="4" w:space="0"/>
              <w:right w:val="single" w:color="auto" w:sz="4" w:space="0"/>
            </w:tcBorders>
            <w:shd w:val="clear" w:color="auto" w:fill="BFBFBF"/>
          </w:tcPr>
          <w:p>
            <w:pPr>
              <w:spacing w:after="0"/>
              <w:jc w:val="center"/>
              <w:rPr>
                <w:rFonts w:ascii="Calibri" w:hAnsi="Calibri" w:eastAsia="Yu Mincho" w:cs="Calibri"/>
                <w:color w:val="000000"/>
                <w:sz w:val="14"/>
                <w:szCs w:val="18"/>
                <w:lang w:eastAsia="ja-JP"/>
              </w:rPr>
            </w:pPr>
            <w:r>
              <w:rPr>
                <w:rFonts w:hint="eastAsia" w:ascii="Calibri" w:hAnsi="Calibri" w:eastAsia="Yu Mincho" w:cs="Calibri"/>
                <w:color w:val="000000"/>
                <w:sz w:val="14"/>
                <w:szCs w:val="18"/>
                <w:lang w:eastAsia="ja-JP"/>
              </w:rPr>
              <w:t>N</w:t>
            </w:r>
            <w:r>
              <w:rPr>
                <w:rFonts w:ascii="Calibri" w:hAnsi="Calibri" w:eastAsia="Yu Mincho" w:cs="Calibri"/>
                <w:color w:val="000000"/>
                <w:sz w:val="14"/>
                <w:szCs w:val="18"/>
                <w:lang w:eastAsia="ja-JP"/>
              </w:rPr>
              <w:t>RCA,</w:t>
            </w:r>
            <w:r>
              <w:rPr>
                <w:rFonts w:hint="eastAsia" w:ascii="Calibri" w:hAnsi="Calibri" w:eastAsia="Yu Mincho" w:cs="Calibri"/>
                <w:color w:val="000000"/>
                <w:sz w:val="14"/>
                <w:szCs w:val="18"/>
                <w:lang w:eastAsia="ja-JP"/>
              </w:rPr>
              <w:t>E</w:t>
            </w:r>
            <w:r>
              <w:rPr>
                <w:rFonts w:ascii="Calibri" w:hAnsi="Calibri" w:eastAsia="Yu Mincho" w:cs="Calibri"/>
                <w:color w:val="000000"/>
                <w:sz w:val="14"/>
                <w:szCs w:val="18"/>
                <w:lang w:eastAsia="ja-JP"/>
              </w:rPr>
              <w:t>NDC</w:t>
            </w:r>
          </w:p>
        </w:tc>
        <w:tc>
          <w:tcPr>
            <w:tcW w:w="973" w:type="dxa"/>
            <w:vMerge w:val="restart"/>
            <w:tcBorders>
              <w:top w:val="nil"/>
              <w:left w:val="single" w:color="auto" w:sz="4" w:space="0"/>
              <w:bottom w:val="single" w:color="auto" w:sz="4" w:space="0"/>
              <w:right w:val="single" w:color="auto" w:sz="4" w:space="0"/>
            </w:tcBorders>
            <w:shd w:val="clear" w:color="auto" w:fill="BFBFBF"/>
            <w:noWrap/>
            <w:vAlign w:val="bottom"/>
          </w:tcPr>
          <w:p>
            <w:pPr>
              <w:spacing w:after="0"/>
              <w:jc w:val="center"/>
              <w:rPr>
                <w:rFonts w:ascii="Calibri" w:hAnsi="Calibri" w:eastAsia="宋体" w:cs="Calibri"/>
                <w:color w:val="000000"/>
                <w:sz w:val="14"/>
                <w:szCs w:val="18"/>
              </w:rPr>
            </w:pPr>
            <w:r>
              <w:rPr>
                <w:rFonts w:ascii="Calibri" w:hAnsi="Calibri" w:eastAsia="宋体" w:cs="Calibri"/>
                <w:color w:val="000000"/>
                <w:sz w:val="14"/>
                <w:szCs w:val="18"/>
              </w:rPr>
              <w:t>6dB</w:t>
            </w:r>
            <w:r>
              <w:rPr>
                <w:rFonts w:ascii="Calibri" w:hAnsi="Calibri" w:eastAsia="宋体" w:cs="Calibri"/>
                <w:color w:val="000000"/>
                <w:sz w:val="14"/>
                <w:szCs w:val="18"/>
              </w:rPr>
              <w:br w:type="textWrapping"/>
            </w:r>
            <w:r>
              <w:rPr>
                <w:rFonts w:ascii="Calibri" w:hAnsi="Calibri" w:eastAsia="宋体" w:cs="Calibri"/>
                <w:color w:val="000000"/>
                <w:sz w:val="14"/>
                <w:szCs w:val="18"/>
              </w:rPr>
              <w:t>full range</w:t>
            </w:r>
          </w:p>
        </w:tc>
        <w:tc>
          <w:tcPr>
            <w:tcW w:w="3320" w:type="dxa"/>
            <w:vMerge w:val="restart"/>
            <w:tcBorders>
              <w:top w:val="nil"/>
              <w:left w:val="single" w:color="auto" w:sz="4" w:space="0"/>
              <w:bottom w:val="single" w:color="auto" w:sz="4" w:space="0"/>
              <w:right w:val="single" w:color="auto" w:sz="4" w:space="0"/>
            </w:tcBorders>
            <w:shd w:val="clear" w:color="auto" w:fill="BFBFBF"/>
            <w:vAlign w:val="bottom"/>
          </w:tcPr>
          <w:p>
            <w:pPr>
              <w:spacing w:after="0"/>
              <w:rPr>
                <w:rFonts w:ascii="Calibri" w:hAnsi="Calibri" w:eastAsia="宋体" w:cs="Calibri"/>
                <w:color w:val="000000"/>
                <w:sz w:val="14"/>
                <w:szCs w:val="18"/>
              </w:rPr>
            </w:pPr>
            <w:r>
              <w:rPr>
                <w:rFonts w:ascii="Calibri" w:hAnsi="Calibri" w:eastAsia="宋体" w:cs="Calibri"/>
                <w:color w:val="000000"/>
                <w:sz w:val="14"/>
                <w:szCs w:val="18"/>
              </w:rPr>
              <w:t>Baseline architecture (i.e. legacy architecture)</w:t>
            </w:r>
          </w:p>
        </w:tc>
      </w:tr>
      <w:tr>
        <w:tblPrEx>
          <w:tblCellMar>
            <w:top w:w="0" w:type="dxa"/>
            <w:left w:w="108" w:type="dxa"/>
            <w:bottom w:w="0" w:type="dxa"/>
            <w:right w:w="108" w:type="dxa"/>
          </w:tblCellMar>
        </w:tblPrEx>
        <w:trPr>
          <w:trHeight w:val="70" w:hRule="atLeast"/>
          <w:jc w:val="center"/>
        </w:trPr>
        <w:tc>
          <w:tcPr>
            <w:tcW w:w="498" w:type="dxa"/>
            <w:vMerge w:val="continue"/>
            <w:tcBorders>
              <w:left w:val="single" w:color="auto" w:sz="4" w:space="0"/>
              <w:bottom w:val="single" w:color="auto" w:sz="4" w:space="0"/>
              <w:right w:val="single" w:color="auto" w:sz="4" w:space="0"/>
            </w:tcBorders>
            <w:shd w:val="clear" w:color="auto" w:fill="BFBFBF"/>
          </w:tcPr>
          <w:p>
            <w:pPr>
              <w:spacing w:after="0"/>
              <w:rPr>
                <w:rFonts w:ascii="Calibri" w:hAnsi="Calibri" w:eastAsia="宋体" w:cs="Calibri"/>
                <w:color w:val="000000"/>
                <w:sz w:val="14"/>
                <w:szCs w:val="18"/>
              </w:rPr>
            </w:pPr>
          </w:p>
        </w:tc>
        <w:tc>
          <w:tcPr>
            <w:tcW w:w="557" w:type="dxa"/>
            <w:tcBorders>
              <w:top w:val="nil"/>
              <w:left w:val="nil"/>
              <w:bottom w:val="single" w:color="auto" w:sz="4" w:space="0"/>
              <w:right w:val="single" w:color="auto" w:sz="4" w:space="0"/>
            </w:tcBorders>
            <w:shd w:val="clear" w:color="auto" w:fill="BFBFBF"/>
            <w:noWrap/>
            <w:vAlign w:val="bottom"/>
          </w:tcPr>
          <w:p>
            <w:pPr>
              <w:spacing w:after="0"/>
              <w:jc w:val="center"/>
              <w:rPr>
                <w:rFonts w:ascii="Calibri" w:hAnsi="Calibri" w:eastAsia="宋体" w:cs="Calibri"/>
                <w:color w:val="000000"/>
                <w:sz w:val="14"/>
                <w:szCs w:val="18"/>
              </w:rPr>
            </w:pPr>
            <w:r>
              <w:rPr>
                <w:rFonts w:ascii="Calibri" w:hAnsi="Calibri" w:eastAsia="宋体" w:cs="Calibri"/>
                <w:color w:val="000000"/>
                <w:sz w:val="14"/>
                <w:szCs w:val="18"/>
              </w:rPr>
              <w:t>2</w:t>
            </w:r>
          </w:p>
        </w:tc>
        <w:tc>
          <w:tcPr>
            <w:tcW w:w="894" w:type="dxa"/>
            <w:gridSpan w:val="2"/>
            <w:vMerge w:val="continue"/>
            <w:tcBorders>
              <w:top w:val="nil"/>
              <w:left w:val="single" w:color="auto" w:sz="4" w:space="0"/>
              <w:bottom w:val="single" w:color="auto" w:sz="4" w:space="0"/>
              <w:right w:val="single" w:color="auto" w:sz="4" w:space="0"/>
            </w:tcBorders>
            <w:shd w:val="clear" w:color="auto" w:fill="BFBFBF"/>
            <w:vAlign w:val="center"/>
          </w:tcPr>
          <w:p>
            <w:pPr>
              <w:spacing w:after="0"/>
              <w:rPr>
                <w:rFonts w:ascii="Calibri" w:hAnsi="Calibri" w:eastAsia="宋体" w:cs="Calibri"/>
                <w:color w:val="000000"/>
                <w:sz w:val="14"/>
                <w:szCs w:val="18"/>
              </w:rPr>
            </w:pPr>
          </w:p>
        </w:tc>
        <w:tc>
          <w:tcPr>
            <w:tcW w:w="604" w:type="dxa"/>
            <w:vMerge w:val="continue"/>
            <w:tcBorders>
              <w:top w:val="nil"/>
              <w:left w:val="single" w:color="auto" w:sz="4" w:space="0"/>
              <w:bottom w:val="single" w:color="auto" w:sz="4" w:space="0"/>
              <w:right w:val="single" w:color="auto" w:sz="4" w:space="0"/>
            </w:tcBorders>
            <w:shd w:val="clear" w:color="auto" w:fill="BFBFBF"/>
            <w:vAlign w:val="center"/>
          </w:tcPr>
          <w:p>
            <w:pPr>
              <w:spacing w:after="0"/>
              <w:rPr>
                <w:rFonts w:ascii="Calibri" w:hAnsi="Calibri" w:eastAsia="宋体" w:cs="Calibri"/>
                <w:color w:val="000000"/>
                <w:sz w:val="14"/>
                <w:szCs w:val="18"/>
              </w:rPr>
            </w:pPr>
          </w:p>
        </w:tc>
        <w:tc>
          <w:tcPr>
            <w:tcW w:w="622" w:type="dxa"/>
            <w:vMerge w:val="continue"/>
            <w:tcBorders>
              <w:top w:val="nil"/>
              <w:left w:val="single" w:color="auto" w:sz="4" w:space="0"/>
              <w:bottom w:val="single" w:color="auto" w:sz="4" w:space="0"/>
              <w:right w:val="single" w:color="auto" w:sz="4" w:space="0"/>
            </w:tcBorders>
            <w:shd w:val="clear" w:color="auto" w:fill="BFBFBF"/>
            <w:vAlign w:val="center"/>
          </w:tcPr>
          <w:p>
            <w:pPr>
              <w:spacing w:after="0"/>
              <w:rPr>
                <w:rFonts w:ascii="Calibri" w:hAnsi="Calibri" w:eastAsia="宋体" w:cs="Calibri"/>
                <w:color w:val="000000"/>
                <w:sz w:val="14"/>
                <w:szCs w:val="18"/>
              </w:rPr>
            </w:pPr>
          </w:p>
        </w:tc>
        <w:tc>
          <w:tcPr>
            <w:tcW w:w="429" w:type="dxa"/>
            <w:tcBorders>
              <w:top w:val="nil"/>
              <w:left w:val="nil"/>
              <w:bottom w:val="single" w:color="auto" w:sz="4" w:space="0"/>
              <w:right w:val="single" w:color="auto" w:sz="4" w:space="0"/>
            </w:tcBorders>
            <w:shd w:val="clear" w:color="auto" w:fill="BFBFBF"/>
            <w:noWrap/>
            <w:vAlign w:val="bottom"/>
          </w:tcPr>
          <w:p>
            <w:pPr>
              <w:spacing w:after="0"/>
              <w:jc w:val="center"/>
              <w:rPr>
                <w:rFonts w:ascii="Calibri" w:hAnsi="Calibri" w:eastAsia="宋体" w:cs="Calibri"/>
                <w:color w:val="000000"/>
                <w:sz w:val="14"/>
                <w:szCs w:val="18"/>
              </w:rPr>
            </w:pPr>
            <w:r>
              <w:rPr>
                <w:rFonts w:ascii="Calibri" w:hAnsi="Calibri" w:eastAsia="宋体" w:cs="Calibri"/>
                <w:color w:val="000000"/>
                <w:sz w:val="14"/>
                <w:szCs w:val="18"/>
              </w:rPr>
              <w:t>4Rx</w:t>
            </w:r>
          </w:p>
        </w:tc>
        <w:tc>
          <w:tcPr>
            <w:tcW w:w="962" w:type="dxa"/>
            <w:vMerge w:val="continue"/>
            <w:tcBorders>
              <w:left w:val="single" w:color="auto" w:sz="4" w:space="0"/>
              <w:bottom w:val="single" w:color="auto" w:sz="4" w:space="0"/>
              <w:right w:val="single" w:color="auto" w:sz="4" w:space="0"/>
            </w:tcBorders>
            <w:shd w:val="clear" w:color="auto" w:fill="BFBFBF"/>
            <w:vAlign w:val="center"/>
          </w:tcPr>
          <w:p>
            <w:pPr>
              <w:spacing w:after="0"/>
              <w:rPr>
                <w:rFonts w:ascii="Calibri" w:hAnsi="Calibri" w:eastAsia="宋体" w:cs="Calibri"/>
                <w:color w:val="000000"/>
                <w:sz w:val="14"/>
                <w:szCs w:val="18"/>
              </w:rPr>
            </w:pPr>
          </w:p>
        </w:tc>
        <w:tc>
          <w:tcPr>
            <w:tcW w:w="1030" w:type="dxa"/>
            <w:vMerge w:val="continue"/>
            <w:tcBorders>
              <w:left w:val="single" w:color="auto" w:sz="4" w:space="0"/>
              <w:bottom w:val="single" w:color="auto" w:sz="4" w:space="0"/>
              <w:right w:val="single" w:color="auto" w:sz="4" w:space="0"/>
            </w:tcBorders>
            <w:shd w:val="clear" w:color="auto" w:fill="BFBFBF"/>
          </w:tcPr>
          <w:p>
            <w:pPr>
              <w:spacing w:after="0"/>
              <w:rPr>
                <w:rFonts w:ascii="Calibri" w:hAnsi="Calibri" w:eastAsia="Yu Mincho" w:cs="Calibri"/>
                <w:color w:val="000000"/>
                <w:sz w:val="14"/>
                <w:szCs w:val="18"/>
                <w:lang w:eastAsia="ja-JP"/>
              </w:rPr>
            </w:pPr>
          </w:p>
        </w:tc>
        <w:tc>
          <w:tcPr>
            <w:tcW w:w="973" w:type="dxa"/>
            <w:vMerge w:val="continue"/>
            <w:tcBorders>
              <w:top w:val="nil"/>
              <w:left w:val="single" w:color="auto" w:sz="4" w:space="0"/>
              <w:bottom w:val="single" w:color="auto" w:sz="4" w:space="0"/>
              <w:right w:val="single" w:color="auto" w:sz="4" w:space="0"/>
            </w:tcBorders>
            <w:shd w:val="clear" w:color="auto" w:fill="BFBFBF"/>
            <w:vAlign w:val="center"/>
          </w:tcPr>
          <w:p>
            <w:pPr>
              <w:spacing w:after="0"/>
              <w:rPr>
                <w:rFonts w:ascii="Calibri" w:hAnsi="Calibri" w:eastAsia="宋体" w:cs="Calibri"/>
                <w:color w:val="000000"/>
                <w:sz w:val="14"/>
                <w:szCs w:val="18"/>
              </w:rPr>
            </w:pPr>
          </w:p>
        </w:tc>
        <w:tc>
          <w:tcPr>
            <w:tcW w:w="3320" w:type="dxa"/>
            <w:vMerge w:val="continue"/>
            <w:tcBorders>
              <w:top w:val="nil"/>
              <w:left w:val="single" w:color="auto" w:sz="4" w:space="0"/>
              <w:bottom w:val="single" w:color="auto" w:sz="4" w:space="0"/>
              <w:right w:val="single" w:color="auto" w:sz="4" w:space="0"/>
            </w:tcBorders>
            <w:shd w:val="clear" w:color="auto" w:fill="BFBFBF"/>
            <w:vAlign w:val="center"/>
          </w:tcPr>
          <w:p>
            <w:pPr>
              <w:spacing w:after="0"/>
              <w:rPr>
                <w:rFonts w:ascii="Calibri" w:hAnsi="Calibri" w:eastAsia="宋体" w:cs="Calibri"/>
                <w:color w:val="000000"/>
                <w:sz w:val="14"/>
                <w:szCs w:val="18"/>
              </w:rPr>
            </w:pPr>
          </w:p>
        </w:tc>
      </w:tr>
      <w:tr>
        <w:tblPrEx>
          <w:tblCellMar>
            <w:top w:w="0" w:type="dxa"/>
            <w:left w:w="108" w:type="dxa"/>
            <w:bottom w:w="0" w:type="dxa"/>
            <w:right w:w="108" w:type="dxa"/>
          </w:tblCellMar>
        </w:tblPrEx>
        <w:trPr>
          <w:trHeight w:val="70" w:hRule="atLeast"/>
          <w:jc w:val="center"/>
        </w:trPr>
        <w:tc>
          <w:tcPr>
            <w:tcW w:w="498" w:type="dxa"/>
            <w:vMerge w:val="restart"/>
            <w:tcBorders>
              <w:top w:val="nil"/>
              <w:left w:val="single" w:color="auto" w:sz="4" w:space="0"/>
              <w:right w:val="single" w:color="auto" w:sz="4" w:space="0"/>
            </w:tcBorders>
            <w:shd w:val="clear" w:color="auto" w:fill="BFBFBF"/>
          </w:tcPr>
          <w:p>
            <w:pPr>
              <w:spacing w:after="0"/>
              <w:jc w:val="center"/>
              <w:rPr>
                <w:rFonts w:ascii="Calibri" w:hAnsi="Calibri" w:eastAsia="宋体" w:cs="Calibri"/>
                <w:b/>
                <w:bCs/>
                <w:color w:val="000000"/>
                <w:sz w:val="14"/>
                <w:szCs w:val="18"/>
              </w:rPr>
            </w:pPr>
            <w:r>
              <w:rPr>
                <w:rFonts w:ascii="Calibri" w:hAnsi="Calibri" w:eastAsia="宋体" w:cs="Calibri"/>
                <w:b/>
                <w:bCs/>
                <w:color w:val="000000"/>
                <w:sz w:val="14"/>
                <w:szCs w:val="18"/>
              </w:rPr>
              <w:t>2</w:t>
            </w:r>
          </w:p>
        </w:tc>
        <w:tc>
          <w:tcPr>
            <w:tcW w:w="557" w:type="dxa"/>
            <w:tcBorders>
              <w:top w:val="nil"/>
              <w:left w:val="nil"/>
              <w:bottom w:val="single" w:color="auto" w:sz="4" w:space="0"/>
              <w:right w:val="single" w:color="auto" w:sz="4" w:space="0"/>
            </w:tcBorders>
            <w:shd w:val="clear" w:color="auto" w:fill="BFBFBF"/>
            <w:noWrap/>
            <w:vAlign w:val="bottom"/>
          </w:tcPr>
          <w:p>
            <w:pPr>
              <w:spacing w:after="0"/>
              <w:jc w:val="center"/>
              <w:rPr>
                <w:rFonts w:ascii="Calibri" w:hAnsi="Calibri" w:eastAsia="宋体" w:cs="Calibri"/>
                <w:color w:val="000000"/>
                <w:sz w:val="14"/>
                <w:szCs w:val="18"/>
              </w:rPr>
            </w:pPr>
            <w:r>
              <w:rPr>
                <w:rFonts w:ascii="Calibri" w:hAnsi="Calibri" w:eastAsia="宋体" w:cs="Calibri"/>
                <w:color w:val="000000"/>
                <w:sz w:val="14"/>
                <w:szCs w:val="18"/>
              </w:rPr>
              <w:t>1</w:t>
            </w:r>
          </w:p>
        </w:tc>
        <w:tc>
          <w:tcPr>
            <w:tcW w:w="411" w:type="dxa"/>
            <w:tcBorders>
              <w:top w:val="nil"/>
              <w:left w:val="nil"/>
              <w:bottom w:val="single" w:color="auto" w:sz="4" w:space="0"/>
              <w:right w:val="single" w:color="auto" w:sz="4" w:space="0"/>
            </w:tcBorders>
            <w:shd w:val="clear" w:color="auto" w:fill="BFBFBF"/>
            <w:noWrap/>
            <w:vAlign w:val="bottom"/>
          </w:tcPr>
          <w:p>
            <w:pPr>
              <w:spacing w:after="0"/>
              <w:jc w:val="center"/>
              <w:rPr>
                <w:rFonts w:ascii="Calibri" w:hAnsi="Calibri" w:eastAsia="宋体" w:cs="Calibri"/>
                <w:color w:val="000000"/>
                <w:sz w:val="14"/>
                <w:szCs w:val="18"/>
              </w:rPr>
            </w:pPr>
            <w:r>
              <w:rPr>
                <w:rFonts w:ascii="Calibri" w:hAnsi="Calibri" w:eastAsia="宋体" w:cs="Calibri"/>
                <w:color w:val="000000"/>
                <w:sz w:val="14"/>
                <w:szCs w:val="18"/>
              </w:rPr>
              <w:t>2</w:t>
            </w:r>
          </w:p>
        </w:tc>
        <w:tc>
          <w:tcPr>
            <w:tcW w:w="483" w:type="dxa"/>
            <w:vMerge w:val="restart"/>
            <w:tcBorders>
              <w:top w:val="nil"/>
              <w:left w:val="nil"/>
              <w:right w:val="single" w:color="auto" w:sz="4" w:space="0"/>
            </w:tcBorders>
            <w:shd w:val="clear" w:color="auto" w:fill="BFBFBF"/>
            <w:vAlign w:val="bottom"/>
          </w:tcPr>
          <w:p>
            <w:pPr>
              <w:spacing w:after="0"/>
              <w:jc w:val="center"/>
              <w:rPr>
                <w:rFonts w:ascii="Calibri" w:hAnsi="Calibri" w:eastAsia="Yu Mincho" w:cs="Calibri"/>
                <w:color w:val="000000"/>
                <w:sz w:val="14"/>
                <w:szCs w:val="18"/>
                <w:lang w:eastAsia="ja-JP"/>
              </w:rPr>
            </w:pPr>
            <w:r>
              <w:rPr>
                <w:rFonts w:ascii="Calibri" w:hAnsi="Calibri" w:eastAsia="Yu Mincho" w:cs="Calibri"/>
                <w:color w:val="000000"/>
                <w:sz w:val="14"/>
                <w:szCs w:val="18"/>
                <w:lang w:eastAsia="ja-JP"/>
              </w:rPr>
              <w:t>4</w:t>
            </w:r>
          </w:p>
          <w:p>
            <w:pPr>
              <w:spacing w:after="0"/>
              <w:jc w:val="center"/>
              <w:rPr>
                <w:rFonts w:ascii="Calibri" w:hAnsi="Calibri" w:eastAsia="Yu Mincho" w:cs="Calibri"/>
                <w:color w:val="000000"/>
                <w:sz w:val="14"/>
                <w:szCs w:val="18"/>
                <w:lang w:eastAsia="ja-JP"/>
              </w:rPr>
            </w:pPr>
            <w:r>
              <w:rPr>
                <w:rFonts w:ascii="Calibri" w:hAnsi="Calibri" w:eastAsia="Yu Mincho" w:cs="Calibri"/>
                <w:color w:val="000000"/>
                <w:sz w:val="14"/>
                <w:szCs w:val="18"/>
                <w:lang w:eastAsia="ja-JP"/>
              </w:rPr>
              <w:t>total</w:t>
            </w:r>
          </w:p>
        </w:tc>
        <w:tc>
          <w:tcPr>
            <w:tcW w:w="604" w:type="dxa"/>
            <w:tcBorders>
              <w:top w:val="nil"/>
              <w:left w:val="nil"/>
              <w:bottom w:val="single" w:color="auto" w:sz="4" w:space="0"/>
              <w:right w:val="single" w:color="auto" w:sz="4" w:space="0"/>
            </w:tcBorders>
            <w:shd w:val="clear" w:color="auto" w:fill="BFBFBF"/>
            <w:noWrap/>
            <w:vAlign w:val="bottom"/>
          </w:tcPr>
          <w:p>
            <w:pPr>
              <w:spacing w:after="0"/>
              <w:jc w:val="center"/>
              <w:rPr>
                <w:rFonts w:ascii="Calibri" w:hAnsi="Calibri" w:eastAsia="宋体" w:cs="Calibri"/>
                <w:color w:val="000000"/>
                <w:sz w:val="14"/>
                <w:szCs w:val="18"/>
              </w:rPr>
            </w:pPr>
            <w:r>
              <w:rPr>
                <w:rFonts w:ascii="Calibri" w:hAnsi="Calibri" w:eastAsia="宋体" w:cs="Calibri"/>
                <w:color w:val="000000"/>
                <w:sz w:val="14"/>
                <w:szCs w:val="18"/>
              </w:rPr>
              <w:t>2</w:t>
            </w:r>
          </w:p>
        </w:tc>
        <w:tc>
          <w:tcPr>
            <w:tcW w:w="622" w:type="dxa"/>
            <w:tcBorders>
              <w:top w:val="nil"/>
              <w:left w:val="nil"/>
              <w:bottom w:val="single" w:color="auto" w:sz="4" w:space="0"/>
              <w:right w:val="single" w:color="auto" w:sz="4" w:space="0"/>
            </w:tcBorders>
            <w:shd w:val="clear" w:color="auto" w:fill="BFBFBF"/>
            <w:noWrap/>
            <w:vAlign w:val="bottom"/>
          </w:tcPr>
          <w:p>
            <w:pPr>
              <w:spacing w:after="0"/>
              <w:jc w:val="center"/>
              <w:rPr>
                <w:rFonts w:ascii="Calibri" w:hAnsi="Calibri" w:eastAsia="宋体" w:cs="Calibri"/>
                <w:color w:val="000000"/>
                <w:sz w:val="14"/>
                <w:szCs w:val="18"/>
              </w:rPr>
            </w:pPr>
            <w:r>
              <w:rPr>
                <w:rFonts w:ascii="Calibri" w:hAnsi="Calibri" w:eastAsia="宋体" w:cs="Calibri"/>
                <w:color w:val="000000"/>
                <w:sz w:val="14"/>
                <w:szCs w:val="18"/>
              </w:rPr>
              <w:t>2</w:t>
            </w:r>
          </w:p>
        </w:tc>
        <w:tc>
          <w:tcPr>
            <w:tcW w:w="429" w:type="dxa"/>
            <w:tcBorders>
              <w:top w:val="nil"/>
              <w:left w:val="nil"/>
              <w:bottom w:val="single" w:color="auto" w:sz="4" w:space="0"/>
              <w:right w:val="single" w:color="auto" w:sz="4" w:space="0"/>
            </w:tcBorders>
            <w:shd w:val="clear" w:color="auto" w:fill="BFBFBF"/>
            <w:noWrap/>
            <w:vAlign w:val="bottom"/>
          </w:tcPr>
          <w:p>
            <w:pPr>
              <w:spacing w:after="0"/>
              <w:jc w:val="center"/>
              <w:rPr>
                <w:rFonts w:ascii="Calibri" w:hAnsi="Calibri" w:eastAsia="宋体" w:cs="Calibri"/>
                <w:color w:val="000000"/>
                <w:sz w:val="14"/>
                <w:szCs w:val="18"/>
              </w:rPr>
            </w:pPr>
            <w:r>
              <w:rPr>
                <w:rFonts w:ascii="Calibri" w:hAnsi="Calibri" w:eastAsia="宋体" w:cs="Calibri"/>
                <w:color w:val="000000"/>
                <w:sz w:val="14"/>
                <w:szCs w:val="18"/>
              </w:rPr>
              <w:t>2Rx</w:t>
            </w:r>
          </w:p>
        </w:tc>
        <w:tc>
          <w:tcPr>
            <w:tcW w:w="962" w:type="dxa"/>
            <w:vMerge w:val="restart"/>
            <w:tcBorders>
              <w:top w:val="nil"/>
              <w:left w:val="single" w:color="auto" w:sz="4" w:space="0"/>
              <w:right w:val="single" w:color="auto" w:sz="4" w:space="0"/>
            </w:tcBorders>
            <w:shd w:val="clear" w:color="auto" w:fill="BFBFBF"/>
            <w:vAlign w:val="bottom"/>
          </w:tcPr>
          <w:p>
            <w:pPr>
              <w:spacing w:after="0"/>
              <w:jc w:val="center"/>
              <w:rPr>
                <w:rFonts w:ascii="Calibri" w:hAnsi="Calibri" w:eastAsia="宋体" w:cs="Calibri"/>
                <w:color w:val="000000"/>
                <w:sz w:val="14"/>
                <w:szCs w:val="18"/>
              </w:rPr>
            </w:pPr>
            <w:r>
              <w:rPr>
                <w:rFonts w:ascii="Calibri" w:hAnsi="Calibri" w:eastAsia="宋体" w:cs="Calibri"/>
                <w:color w:val="000000"/>
                <w:sz w:val="14"/>
                <w:szCs w:val="18"/>
              </w:rPr>
              <w:t>No limitation or ≤ X MHz</w:t>
            </w:r>
          </w:p>
        </w:tc>
        <w:tc>
          <w:tcPr>
            <w:tcW w:w="1030" w:type="dxa"/>
            <w:vMerge w:val="restart"/>
            <w:tcBorders>
              <w:top w:val="nil"/>
              <w:left w:val="single" w:color="auto" w:sz="4" w:space="0"/>
              <w:right w:val="single" w:color="auto" w:sz="4" w:space="0"/>
            </w:tcBorders>
            <w:shd w:val="clear" w:color="auto" w:fill="BFBFBF"/>
          </w:tcPr>
          <w:p>
            <w:pPr>
              <w:spacing w:after="0"/>
              <w:jc w:val="center"/>
              <w:rPr>
                <w:rFonts w:ascii="Calibri" w:hAnsi="Calibri" w:eastAsia="Yu Mincho" w:cs="Calibri"/>
                <w:color w:val="000000"/>
                <w:sz w:val="14"/>
                <w:szCs w:val="18"/>
                <w:lang w:eastAsia="ja-JP"/>
              </w:rPr>
            </w:pPr>
            <w:r>
              <w:rPr>
                <w:rFonts w:hint="eastAsia" w:ascii="Calibri" w:hAnsi="Calibri" w:eastAsia="Yu Mincho" w:cs="Calibri"/>
                <w:color w:val="000000"/>
                <w:sz w:val="14"/>
                <w:szCs w:val="18"/>
                <w:lang w:eastAsia="ja-JP"/>
              </w:rPr>
              <w:t>N</w:t>
            </w:r>
            <w:r>
              <w:rPr>
                <w:rFonts w:ascii="Calibri" w:hAnsi="Calibri" w:eastAsia="Yu Mincho" w:cs="Calibri"/>
                <w:color w:val="000000"/>
                <w:sz w:val="14"/>
                <w:szCs w:val="18"/>
                <w:lang w:eastAsia="ja-JP"/>
              </w:rPr>
              <w:t>RCA,</w:t>
            </w:r>
            <w:r>
              <w:rPr>
                <w:rFonts w:hint="eastAsia" w:ascii="Calibri" w:hAnsi="Calibri" w:eastAsia="Yu Mincho" w:cs="Calibri"/>
                <w:color w:val="000000"/>
                <w:sz w:val="14"/>
                <w:szCs w:val="18"/>
                <w:lang w:eastAsia="ja-JP"/>
              </w:rPr>
              <w:t>E</w:t>
            </w:r>
            <w:r>
              <w:rPr>
                <w:rFonts w:ascii="Calibri" w:hAnsi="Calibri" w:eastAsia="Yu Mincho" w:cs="Calibri"/>
                <w:color w:val="000000"/>
                <w:sz w:val="14"/>
                <w:szCs w:val="18"/>
                <w:lang w:eastAsia="ja-JP"/>
              </w:rPr>
              <w:t>NDC</w:t>
            </w:r>
          </w:p>
        </w:tc>
        <w:tc>
          <w:tcPr>
            <w:tcW w:w="973" w:type="dxa"/>
            <w:vMerge w:val="restart"/>
            <w:tcBorders>
              <w:top w:val="nil"/>
              <w:left w:val="single" w:color="auto" w:sz="4" w:space="0"/>
              <w:bottom w:val="single" w:color="auto" w:sz="4" w:space="0"/>
              <w:right w:val="single" w:color="auto" w:sz="4" w:space="0"/>
            </w:tcBorders>
            <w:shd w:val="clear" w:color="auto" w:fill="BFBFBF"/>
            <w:noWrap/>
            <w:vAlign w:val="bottom"/>
          </w:tcPr>
          <w:p>
            <w:pPr>
              <w:spacing w:after="0"/>
              <w:jc w:val="center"/>
              <w:rPr>
                <w:rFonts w:ascii="Calibri" w:hAnsi="Calibri" w:eastAsia="宋体" w:cs="Calibri"/>
                <w:color w:val="000000"/>
                <w:sz w:val="14"/>
                <w:szCs w:val="18"/>
              </w:rPr>
            </w:pPr>
            <w:r>
              <w:rPr>
                <w:rFonts w:ascii="Calibri" w:hAnsi="Calibri" w:eastAsia="宋体" w:cs="Calibri"/>
                <w:color w:val="000000"/>
                <w:sz w:val="14"/>
                <w:szCs w:val="18"/>
              </w:rPr>
              <w:t>25dB</w:t>
            </w:r>
            <w:r>
              <w:rPr>
                <w:rFonts w:ascii="Calibri" w:hAnsi="Calibri" w:eastAsia="宋体" w:cs="Calibri"/>
                <w:color w:val="000000"/>
                <w:sz w:val="14"/>
                <w:szCs w:val="18"/>
              </w:rPr>
              <w:br w:type="textWrapping"/>
            </w:r>
            <w:r>
              <w:rPr>
                <w:rFonts w:ascii="Calibri" w:hAnsi="Calibri" w:eastAsia="宋体" w:cs="Calibri"/>
                <w:color w:val="000000"/>
                <w:sz w:val="14"/>
                <w:szCs w:val="18"/>
              </w:rPr>
              <w:t>full range</w:t>
            </w:r>
          </w:p>
        </w:tc>
        <w:tc>
          <w:tcPr>
            <w:tcW w:w="3320" w:type="dxa"/>
            <w:vMerge w:val="restart"/>
            <w:tcBorders>
              <w:top w:val="nil"/>
              <w:left w:val="single" w:color="auto" w:sz="4" w:space="0"/>
              <w:bottom w:val="single" w:color="auto" w:sz="4" w:space="0"/>
              <w:right w:val="single" w:color="auto" w:sz="4" w:space="0"/>
            </w:tcBorders>
            <w:shd w:val="clear" w:color="auto" w:fill="BFBFBF"/>
            <w:vAlign w:val="bottom"/>
          </w:tcPr>
          <w:p>
            <w:pPr>
              <w:spacing w:after="0"/>
              <w:rPr>
                <w:rFonts w:ascii="Calibri" w:hAnsi="Calibri" w:eastAsia="宋体" w:cs="Calibri"/>
                <w:color w:val="000000"/>
                <w:sz w:val="14"/>
                <w:szCs w:val="18"/>
              </w:rPr>
            </w:pPr>
            <w:r>
              <w:rPr>
                <w:rFonts w:ascii="Calibri" w:hAnsi="Calibri" w:eastAsia="宋体" w:cs="Calibri"/>
                <w:color w:val="000000"/>
                <w:sz w:val="14"/>
                <w:szCs w:val="18"/>
              </w:rPr>
              <w:t>Reuse of baseline architecture restricted to 2Rx/band but need 2LO frequencies</w:t>
            </w:r>
          </w:p>
        </w:tc>
      </w:tr>
      <w:tr>
        <w:tblPrEx>
          <w:tblCellMar>
            <w:top w:w="0" w:type="dxa"/>
            <w:left w:w="108" w:type="dxa"/>
            <w:bottom w:w="0" w:type="dxa"/>
            <w:right w:w="108" w:type="dxa"/>
          </w:tblCellMar>
        </w:tblPrEx>
        <w:trPr>
          <w:trHeight w:val="70" w:hRule="atLeast"/>
          <w:jc w:val="center"/>
        </w:trPr>
        <w:tc>
          <w:tcPr>
            <w:tcW w:w="498" w:type="dxa"/>
            <w:vMerge w:val="continue"/>
            <w:tcBorders>
              <w:left w:val="single" w:color="auto" w:sz="4" w:space="0"/>
              <w:bottom w:val="single" w:color="auto" w:sz="4" w:space="0"/>
              <w:right w:val="single" w:color="auto" w:sz="4" w:space="0"/>
            </w:tcBorders>
          </w:tcPr>
          <w:p>
            <w:pPr>
              <w:spacing w:after="0"/>
              <w:rPr>
                <w:rFonts w:ascii="Calibri" w:hAnsi="Calibri" w:eastAsia="宋体" w:cs="Calibri"/>
                <w:color w:val="000000"/>
                <w:sz w:val="14"/>
                <w:szCs w:val="18"/>
              </w:rPr>
            </w:pPr>
          </w:p>
        </w:tc>
        <w:tc>
          <w:tcPr>
            <w:tcW w:w="557" w:type="dxa"/>
            <w:tcBorders>
              <w:top w:val="nil"/>
              <w:left w:val="nil"/>
              <w:bottom w:val="single" w:color="auto" w:sz="4" w:space="0"/>
              <w:right w:val="single" w:color="auto" w:sz="4" w:space="0"/>
            </w:tcBorders>
            <w:shd w:val="clear" w:color="auto" w:fill="BFBFBF"/>
            <w:noWrap/>
            <w:vAlign w:val="bottom"/>
          </w:tcPr>
          <w:p>
            <w:pPr>
              <w:spacing w:after="0"/>
              <w:jc w:val="center"/>
              <w:rPr>
                <w:rFonts w:ascii="Calibri" w:hAnsi="Calibri" w:eastAsia="宋体" w:cs="Calibri"/>
                <w:color w:val="000000"/>
                <w:sz w:val="14"/>
                <w:szCs w:val="18"/>
              </w:rPr>
            </w:pPr>
            <w:r>
              <w:rPr>
                <w:rFonts w:ascii="Calibri" w:hAnsi="Calibri" w:eastAsia="宋体" w:cs="Calibri"/>
                <w:color w:val="000000"/>
                <w:sz w:val="14"/>
                <w:szCs w:val="18"/>
              </w:rPr>
              <w:t>2</w:t>
            </w:r>
          </w:p>
        </w:tc>
        <w:tc>
          <w:tcPr>
            <w:tcW w:w="411" w:type="dxa"/>
            <w:tcBorders>
              <w:top w:val="nil"/>
              <w:left w:val="nil"/>
              <w:bottom w:val="single" w:color="auto" w:sz="4" w:space="0"/>
              <w:right w:val="single" w:color="auto" w:sz="4" w:space="0"/>
            </w:tcBorders>
            <w:shd w:val="clear" w:color="auto" w:fill="BFBFBF"/>
            <w:noWrap/>
            <w:vAlign w:val="bottom"/>
          </w:tcPr>
          <w:p>
            <w:pPr>
              <w:spacing w:after="0"/>
              <w:jc w:val="center"/>
              <w:rPr>
                <w:rFonts w:ascii="Calibri" w:hAnsi="Calibri" w:eastAsia="宋体" w:cs="Calibri"/>
                <w:color w:val="000000"/>
                <w:sz w:val="14"/>
                <w:szCs w:val="18"/>
              </w:rPr>
            </w:pPr>
            <w:r>
              <w:rPr>
                <w:rFonts w:ascii="Calibri" w:hAnsi="Calibri" w:eastAsia="宋体" w:cs="Calibri"/>
                <w:color w:val="000000"/>
                <w:sz w:val="14"/>
                <w:szCs w:val="18"/>
              </w:rPr>
              <w:t>2</w:t>
            </w:r>
          </w:p>
        </w:tc>
        <w:tc>
          <w:tcPr>
            <w:tcW w:w="483" w:type="dxa"/>
            <w:vMerge w:val="continue"/>
            <w:tcBorders>
              <w:left w:val="nil"/>
              <w:bottom w:val="single" w:color="auto" w:sz="4" w:space="0"/>
              <w:right w:val="single" w:color="auto" w:sz="4" w:space="0"/>
            </w:tcBorders>
            <w:shd w:val="clear" w:color="auto" w:fill="BFBFBF"/>
            <w:vAlign w:val="bottom"/>
          </w:tcPr>
          <w:p>
            <w:pPr>
              <w:spacing w:after="0"/>
              <w:jc w:val="center"/>
              <w:rPr>
                <w:rFonts w:ascii="Calibri" w:hAnsi="Calibri" w:eastAsia="宋体" w:cs="Calibri"/>
                <w:color w:val="000000"/>
                <w:sz w:val="14"/>
                <w:szCs w:val="18"/>
              </w:rPr>
            </w:pPr>
          </w:p>
        </w:tc>
        <w:tc>
          <w:tcPr>
            <w:tcW w:w="604" w:type="dxa"/>
            <w:tcBorders>
              <w:top w:val="nil"/>
              <w:left w:val="nil"/>
              <w:bottom w:val="single" w:color="auto" w:sz="4" w:space="0"/>
              <w:right w:val="single" w:color="auto" w:sz="4" w:space="0"/>
            </w:tcBorders>
            <w:shd w:val="clear" w:color="auto" w:fill="BFBFBF"/>
            <w:noWrap/>
            <w:vAlign w:val="bottom"/>
          </w:tcPr>
          <w:p>
            <w:pPr>
              <w:spacing w:after="0"/>
              <w:jc w:val="center"/>
              <w:rPr>
                <w:rFonts w:ascii="Calibri" w:hAnsi="Calibri" w:eastAsia="宋体" w:cs="Calibri"/>
                <w:color w:val="000000"/>
                <w:sz w:val="14"/>
                <w:szCs w:val="18"/>
              </w:rPr>
            </w:pPr>
            <w:r>
              <w:rPr>
                <w:rFonts w:ascii="Calibri" w:hAnsi="Calibri" w:eastAsia="宋体" w:cs="Calibri"/>
                <w:color w:val="000000"/>
                <w:sz w:val="14"/>
                <w:szCs w:val="18"/>
              </w:rPr>
              <w:t>2</w:t>
            </w:r>
          </w:p>
        </w:tc>
        <w:tc>
          <w:tcPr>
            <w:tcW w:w="622" w:type="dxa"/>
            <w:tcBorders>
              <w:top w:val="nil"/>
              <w:left w:val="nil"/>
              <w:bottom w:val="single" w:color="auto" w:sz="4" w:space="0"/>
              <w:right w:val="single" w:color="auto" w:sz="4" w:space="0"/>
            </w:tcBorders>
            <w:shd w:val="clear" w:color="auto" w:fill="BFBFBF"/>
            <w:noWrap/>
            <w:vAlign w:val="bottom"/>
          </w:tcPr>
          <w:p>
            <w:pPr>
              <w:spacing w:after="0"/>
              <w:jc w:val="center"/>
              <w:rPr>
                <w:rFonts w:ascii="Calibri" w:hAnsi="Calibri" w:eastAsia="宋体" w:cs="Calibri"/>
                <w:color w:val="000000"/>
                <w:sz w:val="14"/>
                <w:szCs w:val="18"/>
              </w:rPr>
            </w:pPr>
            <w:r>
              <w:rPr>
                <w:rFonts w:ascii="Calibri" w:hAnsi="Calibri" w:eastAsia="宋体" w:cs="Calibri"/>
                <w:color w:val="000000"/>
                <w:sz w:val="14"/>
                <w:szCs w:val="18"/>
              </w:rPr>
              <w:t>2</w:t>
            </w:r>
          </w:p>
        </w:tc>
        <w:tc>
          <w:tcPr>
            <w:tcW w:w="429" w:type="dxa"/>
            <w:tcBorders>
              <w:top w:val="nil"/>
              <w:left w:val="nil"/>
              <w:bottom w:val="single" w:color="auto" w:sz="4" w:space="0"/>
              <w:right w:val="single" w:color="auto" w:sz="4" w:space="0"/>
            </w:tcBorders>
            <w:shd w:val="clear" w:color="auto" w:fill="BFBFBF"/>
            <w:noWrap/>
            <w:vAlign w:val="bottom"/>
          </w:tcPr>
          <w:p>
            <w:pPr>
              <w:spacing w:after="0"/>
              <w:jc w:val="center"/>
              <w:rPr>
                <w:rFonts w:ascii="Calibri" w:hAnsi="Calibri" w:eastAsia="宋体" w:cs="Calibri"/>
                <w:color w:val="000000"/>
                <w:sz w:val="14"/>
                <w:szCs w:val="18"/>
              </w:rPr>
            </w:pPr>
            <w:r>
              <w:rPr>
                <w:rFonts w:ascii="Calibri" w:hAnsi="Calibri" w:eastAsia="宋体" w:cs="Calibri"/>
                <w:color w:val="000000"/>
                <w:sz w:val="14"/>
                <w:szCs w:val="18"/>
              </w:rPr>
              <w:t>2Rx</w:t>
            </w:r>
          </w:p>
        </w:tc>
        <w:tc>
          <w:tcPr>
            <w:tcW w:w="962" w:type="dxa"/>
            <w:vMerge w:val="continue"/>
            <w:tcBorders>
              <w:left w:val="single" w:color="auto" w:sz="4" w:space="0"/>
              <w:bottom w:val="single" w:color="auto" w:sz="4" w:space="0"/>
              <w:right w:val="single" w:color="auto" w:sz="4" w:space="0"/>
            </w:tcBorders>
            <w:vAlign w:val="center"/>
          </w:tcPr>
          <w:p>
            <w:pPr>
              <w:spacing w:after="0"/>
              <w:rPr>
                <w:rFonts w:ascii="Calibri" w:hAnsi="Calibri" w:eastAsia="宋体" w:cs="Calibri"/>
                <w:color w:val="000000"/>
                <w:sz w:val="14"/>
                <w:szCs w:val="18"/>
              </w:rPr>
            </w:pPr>
          </w:p>
        </w:tc>
        <w:tc>
          <w:tcPr>
            <w:tcW w:w="1030" w:type="dxa"/>
            <w:vMerge w:val="continue"/>
            <w:tcBorders>
              <w:left w:val="single" w:color="auto" w:sz="4" w:space="0"/>
              <w:bottom w:val="single" w:color="auto" w:sz="4" w:space="0"/>
              <w:right w:val="single" w:color="auto" w:sz="4" w:space="0"/>
            </w:tcBorders>
            <w:shd w:val="clear" w:color="auto" w:fill="BFBFBF"/>
          </w:tcPr>
          <w:p>
            <w:pPr>
              <w:spacing w:after="0"/>
              <w:jc w:val="center"/>
              <w:rPr>
                <w:rFonts w:ascii="Calibri" w:hAnsi="Calibri" w:eastAsia="Yu Mincho" w:cs="Calibri"/>
                <w:color w:val="000000"/>
                <w:sz w:val="14"/>
                <w:szCs w:val="18"/>
                <w:lang w:eastAsia="ja-JP"/>
              </w:rPr>
            </w:pPr>
          </w:p>
        </w:tc>
        <w:tc>
          <w:tcPr>
            <w:tcW w:w="973" w:type="dxa"/>
            <w:vMerge w:val="continue"/>
            <w:tcBorders>
              <w:top w:val="nil"/>
              <w:left w:val="single" w:color="auto" w:sz="4" w:space="0"/>
              <w:bottom w:val="single" w:color="auto" w:sz="4" w:space="0"/>
              <w:right w:val="single" w:color="auto" w:sz="4" w:space="0"/>
            </w:tcBorders>
            <w:vAlign w:val="center"/>
          </w:tcPr>
          <w:p>
            <w:pPr>
              <w:spacing w:after="0"/>
              <w:rPr>
                <w:rFonts w:ascii="Calibri" w:hAnsi="Calibri" w:eastAsia="宋体" w:cs="Calibri"/>
                <w:color w:val="000000"/>
                <w:sz w:val="14"/>
                <w:szCs w:val="18"/>
              </w:rPr>
            </w:pPr>
          </w:p>
        </w:tc>
        <w:tc>
          <w:tcPr>
            <w:tcW w:w="3320" w:type="dxa"/>
            <w:vMerge w:val="continue"/>
            <w:tcBorders>
              <w:top w:val="nil"/>
              <w:left w:val="single" w:color="auto" w:sz="4" w:space="0"/>
              <w:bottom w:val="single" w:color="auto" w:sz="4" w:space="0"/>
              <w:right w:val="single" w:color="auto" w:sz="4" w:space="0"/>
            </w:tcBorders>
            <w:vAlign w:val="center"/>
          </w:tcPr>
          <w:p>
            <w:pPr>
              <w:spacing w:after="0"/>
              <w:rPr>
                <w:rFonts w:ascii="Calibri" w:hAnsi="Calibri" w:eastAsia="宋体" w:cs="Calibri"/>
                <w:color w:val="000000"/>
                <w:sz w:val="14"/>
                <w:szCs w:val="18"/>
              </w:rPr>
            </w:pPr>
          </w:p>
        </w:tc>
      </w:tr>
      <w:tr>
        <w:tblPrEx>
          <w:tblCellMar>
            <w:top w:w="0" w:type="dxa"/>
            <w:left w:w="108" w:type="dxa"/>
            <w:bottom w:w="0" w:type="dxa"/>
            <w:right w:w="108" w:type="dxa"/>
          </w:tblCellMar>
        </w:tblPrEx>
        <w:trPr>
          <w:trHeight w:val="70" w:hRule="atLeast"/>
          <w:jc w:val="center"/>
        </w:trPr>
        <w:tc>
          <w:tcPr>
            <w:tcW w:w="498" w:type="dxa"/>
            <w:vMerge w:val="restart"/>
            <w:tcBorders>
              <w:top w:val="nil"/>
              <w:left w:val="single" w:color="auto" w:sz="4" w:space="0"/>
              <w:right w:val="single" w:color="auto" w:sz="4" w:space="0"/>
            </w:tcBorders>
            <w:shd w:val="clear" w:color="auto" w:fill="FFFF00"/>
          </w:tcPr>
          <w:p>
            <w:pPr>
              <w:spacing w:after="0"/>
              <w:jc w:val="center"/>
              <w:rPr>
                <w:rFonts w:ascii="Calibri" w:hAnsi="Calibri" w:eastAsia="宋体" w:cs="Calibri"/>
                <w:b/>
                <w:bCs/>
                <w:color w:val="000000"/>
                <w:sz w:val="14"/>
                <w:szCs w:val="18"/>
              </w:rPr>
            </w:pPr>
            <w:r>
              <w:rPr>
                <w:rFonts w:ascii="Calibri" w:hAnsi="Calibri" w:eastAsia="宋体" w:cs="Calibri"/>
                <w:b/>
                <w:bCs/>
                <w:color w:val="000000"/>
                <w:sz w:val="14"/>
                <w:szCs w:val="18"/>
              </w:rPr>
              <w:t>3a</w:t>
            </w:r>
          </w:p>
        </w:tc>
        <w:tc>
          <w:tcPr>
            <w:tcW w:w="557" w:type="dxa"/>
            <w:tcBorders>
              <w:top w:val="nil"/>
              <w:left w:val="nil"/>
              <w:bottom w:val="single" w:color="auto" w:sz="4" w:space="0"/>
              <w:right w:val="single" w:color="auto" w:sz="4" w:space="0"/>
            </w:tcBorders>
            <w:shd w:val="clear" w:color="auto" w:fill="FFFF00"/>
            <w:noWrap/>
            <w:vAlign w:val="bottom"/>
          </w:tcPr>
          <w:p>
            <w:pPr>
              <w:spacing w:after="0"/>
              <w:jc w:val="center"/>
              <w:rPr>
                <w:rFonts w:ascii="Calibri" w:hAnsi="Calibri" w:eastAsia="宋体" w:cs="Calibri"/>
                <w:color w:val="000000"/>
                <w:sz w:val="14"/>
                <w:szCs w:val="18"/>
              </w:rPr>
            </w:pPr>
            <w:r>
              <w:rPr>
                <w:rFonts w:ascii="Calibri" w:hAnsi="Calibri" w:eastAsia="宋体" w:cs="Calibri"/>
                <w:color w:val="000000"/>
                <w:sz w:val="14"/>
                <w:szCs w:val="18"/>
              </w:rPr>
              <w:t>1</w:t>
            </w:r>
          </w:p>
        </w:tc>
        <w:tc>
          <w:tcPr>
            <w:tcW w:w="894" w:type="dxa"/>
            <w:gridSpan w:val="2"/>
            <w:vMerge w:val="restart"/>
            <w:tcBorders>
              <w:top w:val="nil"/>
              <w:left w:val="single" w:color="auto" w:sz="4" w:space="0"/>
              <w:bottom w:val="single" w:color="auto" w:sz="4" w:space="0"/>
              <w:right w:val="single" w:color="auto" w:sz="4" w:space="0"/>
            </w:tcBorders>
            <w:shd w:val="clear" w:color="auto" w:fill="FFFF00"/>
            <w:vAlign w:val="bottom"/>
          </w:tcPr>
          <w:p>
            <w:pPr>
              <w:spacing w:after="0"/>
              <w:jc w:val="center"/>
              <w:rPr>
                <w:rFonts w:ascii="Calibri" w:hAnsi="Calibri" w:eastAsia="宋体" w:cs="Calibri"/>
                <w:color w:val="000000"/>
                <w:sz w:val="14"/>
                <w:szCs w:val="18"/>
              </w:rPr>
            </w:pPr>
            <w:r>
              <w:rPr>
                <w:rFonts w:ascii="Calibri" w:hAnsi="Calibri" w:eastAsia="宋体" w:cs="Calibri"/>
                <w:color w:val="000000"/>
                <w:sz w:val="14"/>
                <w:szCs w:val="18"/>
              </w:rPr>
              <w:t>4</w:t>
            </w:r>
            <w:r>
              <w:rPr>
                <w:rFonts w:ascii="Calibri" w:hAnsi="Calibri" w:eastAsia="宋体" w:cs="Calibri"/>
                <w:color w:val="000000"/>
                <w:sz w:val="14"/>
                <w:szCs w:val="18"/>
              </w:rPr>
              <w:br w:type="textWrapping"/>
            </w:r>
            <w:r>
              <w:rPr>
                <w:rFonts w:ascii="Calibri" w:hAnsi="Calibri" w:eastAsia="宋体" w:cs="Calibri"/>
                <w:color w:val="000000"/>
                <w:sz w:val="14"/>
                <w:szCs w:val="18"/>
              </w:rPr>
              <w:t>shared</w:t>
            </w:r>
          </w:p>
        </w:tc>
        <w:tc>
          <w:tcPr>
            <w:tcW w:w="604" w:type="dxa"/>
            <w:tcBorders>
              <w:top w:val="nil"/>
              <w:left w:val="nil"/>
              <w:bottom w:val="single" w:color="auto" w:sz="4" w:space="0"/>
              <w:right w:val="single" w:color="auto" w:sz="4" w:space="0"/>
            </w:tcBorders>
            <w:shd w:val="clear" w:color="auto" w:fill="FFFF00"/>
            <w:noWrap/>
            <w:vAlign w:val="bottom"/>
          </w:tcPr>
          <w:p>
            <w:pPr>
              <w:spacing w:after="0"/>
              <w:jc w:val="center"/>
              <w:rPr>
                <w:rFonts w:ascii="Calibri" w:hAnsi="Calibri" w:eastAsia="宋体" w:cs="Calibri"/>
                <w:color w:val="000000"/>
                <w:sz w:val="14"/>
                <w:szCs w:val="18"/>
              </w:rPr>
            </w:pPr>
            <w:r>
              <w:rPr>
                <w:rFonts w:ascii="Calibri" w:hAnsi="Calibri" w:eastAsia="宋体" w:cs="Calibri"/>
                <w:color w:val="000000"/>
                <w:sz w:val="14"/>
                <w:szCs w:val="18"/>
              </w:rPr>
              <w:t>4</w:t>
            </w:r>
          </w:p>
        </w:tc>
        <w:tc>
          <w:tcPr>
            <w:tcW w:w="622" w:type="dxa"/>
            <w:tcBorders>
              <w:top w:val="nil"/>
              <w:left w:val="nil"/>
              <w:bottom w:val="single" w:color="auto" w:sz="4" w:space="0"/>
              <w:right w:val="single" w:color="auto" w:sz="4" w:space="0"/>
            </w:tcBorders>
            <w:shd w:val="clear" w:color="auto" w:fill="FFFF00"/>
            <w:noWrap/>
            <w:vAlign w:val="bottom"/>
          </w:tcPr>
          <w:p>
            <w:pPr>
              <w:spacing w:after="0"/>
              <w:jc w:val="center"/>
              <w:rPr>
                <w:rFonts w:ascii="Calibri" w:hAnsi="Calibri" w:eastAsia="宋体" w:cs="Calibri"/>
                <w:color w:val="000000"/>
                <w:sz w:val="14"/>
                <w:szCs w:val="18"/>
              </w:rPr>
            </w:pPr>
            <w:r>
              <w:rPr>
                <w:rFonts w:ascii="Calibri" w:hAnsi="Calibri" w:eastAsia="宋体" w:cs="Calibri"/>
                <w:color w:val="000000"/>
                <w:sz w:val="14"/>
                <w:szCs w:val="18"/>
              </w:rPr>
              <w:t>4</w:t>
            </w:r>
          </w:p>
        </w:tc>
        <w:tc>
          <w:tcPr>
            <w:tcW w:w="429" w:type="dxa"/>
            <w:tcBorders>
              <w:top w:val="nil"/>
              <w:left w:val="nil"/>
              <w:bottom w:val="single" w:color="auto" w:sz="4" w:space="0"/>
              <w:right w:val="single" w:color="auto" w:sz="4" w:space="0"/>
            </w:tcBorders>
            <w:shd w:val="clear" w:color="auto" w:fill="FFFF00"/>
            <w:noWrap/>
            <w:vAlign w:val="bottom"/>
          </w:tcPr>
          <w:p>
            <w:pPr>
              <w:spacing w:after="0"/>
              <w:jc w:val="center"/>
              <w:rPr>
                <w:rFonts w:ascii="Calibri" w:hAnsi="Calibri" w:eastAsia="宋体" w:cs="Calibri"/>
                <w:color w:val="000000"/>
                <w:sz w:val="14"/>
                <w:szCs w:val="18"/>
              </w:rPr>
            </w:pPr>
            <w:r>
              <w:rPr>
                <w:rFonts w:ascii="Calibri" w:hAnsi="Calibri" w:eastAsia="宋体" w:cs="Calibri"/>
                <w:color w:val="000000"/>
                <w:sz w:val="14"/>
                <w:szCs w:val="18"/>
              </w:rPr>
              <w:t>4Rx</w:t>
            </w:r>
          </w:p>
        </w:tc>
        <w:tc>
          <w:tcPr>
            <w:tcW w:w="962" w:type="dxa"/>
            <w:vMerge w:val="restart"/>
            <w:tcBorders>
              <w:top w:val="nil"/>
              <w:left w:val="single" w:color="auto" w:sz="4" w:space="0"/>
              <w:right w:val="single" w:color="auto" w:sz="4" w:space="0"/>
            </w:tcBorders>
            <w:shd w:val="clear" w:color="auto" w:fill="FFFF00"/>
            <w:vAlign w:val="bottom"/>
          </w:tcPr>
          <w:p>
            <w:pPr>
              <w:spacing w:after="0"/>
              <w:jc w:val="center"/>
              <w:rPr>
                <w:rFonts w:ascii="Calibri" w:hAnsi="Calibri" w:eastAsia="宋体" w:cs="Calibri"/>
                <w:color w:val="000000"/>
                <w:sz w:val="14"/>
                <w:szCs w:val="18"/>
              </w:rPr>
            </w:pPr>
            <w:r>
              <w:rPr>
                <w:rFonts w:ascii="Calibri" w:hAnsi="Calibri" w:eastAsia="宋体" w:cs="Calibri"/>
                <w:color w:val="000000"/>
                <w:sz w:val="14"/>
                <w:szCs w:val="18"/>
              </w:rPr>
              <w:t>No limitation or ≤ X MHz</w:t>
            </w:r>
          </w:p>
        </w:tc>
        <w:tc>
          <w:tcPr>
            <w:tcW w:w="1030" w:type="dxa"/>
            <w:vMerge w:val="restart"/>
            <w:tcBorders>
              <w:top w:val="nil"/>
              <w:left w:val="single" w:color="auto" w:sz="4" w:space="0"/>
              <w:right w:val="single" w:color="auto" w:sz="4" w:space="0"/>
            </w:tcBorders>
            <w:shd w:val="clear" w:color="auto" w:fill="FFFF00"/>
          </w:tcPr>
          <w:p>
            <w:pPr>
              <w:spacing w:after="0"/>
              <w:jc w:val="center"/>
              <w:rPr>
                <w:rFonts w:ascii="Calibri" w:hAnsi="Calibri" w:eastAsia="Yu Mincho" w:cs="Calibri"/>
                <w:color w:val="000000"/>
                <w:sz w:val="14"/>
                <w:szCs w:val="18"/>
                <w:lang w:eastAsia="ja-JP"/>
              </w:rPr>
            </w:pPr>
            <w:r>
              <w:rPr>
                <w:rFonts w:hint="eastAsia" w:ascii="Calibri" w:hAnsi="Calibri" w:eastAsia="Yu Mincho" w:cs="Calibri"/>
                <w:color w:val="000000"/>
                <w:sz w:val="14"/>
                <w:szCs w:val="18"/>
                <w:lang w:eastAsia="ja-JP"/>
              </w:rPr>
              <w:t>E</w:t>
            </w:r>
            <w:r>
              <w:rPr>
                <w:rFonts w:ascii="Calibri" w:hAnsi="Calibri" w:eastAsia="Yu Mincho" w:cs="Calibri"/>
                <w:color w:val="000000"/>
                <w:sz w:val="14"/>
                <w:szCs w:val="18"/>
                <w:lang w:eastAsia="ja-JP"/>
              </w:rPr>
              <w:t>NDC</w:t>
            </w:r>
          </w:p>
        </w:tc>
        <w:tc>
          <w:tcPr>
            <w:tcW w:w="973" w:type="dxa"/>
            <w:vMerge w:val="restart"/>
            <w:tcBorders>
              <w:top w:val="nil"/>
              <w:left w:val="single" w:color="auto" w:sz="4" w:space="0"/>
              <w:bottom w:val="single" w:color="auto" w:sz="4" w:space="0"/>
              <w:right w:val="single" w:color="auto" w:sz="4" w:space="0"/>
            </w:tcBorders>
            <w:shd w:val="clear" w:color="auto" w:fill="FFFF00"/>
            <w:noWrap/>
            <w:vAlign w:val="bottom"/>
          </w:tcPr>
          <w:p>
            <w:pPr>
              <w:spacing w:after="0"/>
              <w:jc w:val="center"/>
              <w:rPr>
                <w:rFonts w:ascii="Calibri" w:hAnsi="Calibri" w:eastAsia="宋体" w:cs="Calibri"/>
                <w:color w:val="000000"/>
                <w:sz w:val="14"/>
                <w:szCs w:val="18"/>
              </w:rPr>
            </w:pPr>
            <w:r>
              <w:rPr>
                <w:rFonts w:ascii="Calibri" w:hAnsi="Calibri" w:eastAsia="宋体" w:cs="Calibri"/>
                <w:color w:val="000000"/>
                <w:sz w:val="14"/>
                <w:szCs w:val="18"/>
              </w:rPr>
              <w:t>6&lt;P≤25dB</w:t>
            </w:r>
            <w:r>
              <w:rPr>
                <w:rFonts w:ascii="Calibri" w:hAnsi="Calibri" w:eastAsia="宋体" w:cs="Calibri"/>
                <w:color w:val="000000"/>
                <w:sz w:val="14"/>
                <w:szCs w:val="18"/>
              </w:rPr>
              <w:br w:type="textWrapping"/>
            </w:r>
            <w:r>
              <w:rPr>
                <w:rFonts w:ascii="Calibri" w:hAnsi="Calibri" w:eastAsia="宋体" w:cs="Calibri"/>
                <w:color w:val="000000"/>
                <w:sz w:val="14"/>
                <w:szCs w:val="18"/>
              </w:rPr>
              <w:t>partial range</w:t>
            </w:r>
          </w:p>
        </w:tc>
        <w:tc>
          <w:tcPr>
            <w:tcW w:w="3320" w:type="dxa"/>
            <w:vMerge w:val="restart"/>
            <w:tcBorders>
              <w:top w:val="nil"/>
              <w:left w:val="single" w:color="auto" w:sz="4" w:space="0"/>
              <w:bottom w:val="single" w:color="auto" w:sz="4" w:space="0"/>
              <w:right w:val="single" w:color="auto" w:sz="4" w:space="0"/>
            </w:tcBorders>
            <w:shd w:val="clear" w:color="auto" w:fill="FFFF00"/>
            <w:vAlign w:val="bottom"/>
          </w:tcPr>
          <w:p>
            <w:pPr>
              <w:spacing w:after="0"/>
              <w:rPr>
                <w:rFonts w:ascii="Calibri" w:hAnsi="Calibri" w:eastAsia="宋体" w:cs="Calibri"/>
                <w:color w:val="000000"/>
                <w:sz w:val="14"/>
                <w:szCs w:val="18"/>
              </w:rPr>
            </w:pPr>
            <w:r>
              <w:rPr>
                <w:rFonts w:ascii="Calibri" w:hAnsi="Calibri" w:eastAsia="宋体" w:cs="Calibri"/>
                <w:color w:val="000000"/>
                <w:sz w:val="14"/>
                <w:szCs w:val="18"/>
              </w:rPr>
              <w:t xml:space="preserve">Reuse of baseline RFFE architecture adding RF split after 2 LNAs + 1BB/Rx </w:t>
            </w:r>
            <w:r>
              <w:rPr>
                <w:rFonts w:ascii="Calibri" w:hAnsi="Calibri" w:eastAsia="宋体" w:cs="Calibri"/>
                <w:color w:val="000000"/>
                <w:sz w:val="14"/>
                <w:szCs w:val="18"/>
              </w:rPr>
              <w:br w:type="textWrapping"/>
            </w:r>
            <w:r>
              <w:rPr>
                <w:rFonts w:ascii="Calibri" w:hAnsi="Calibri" w:eastAsia="宋体" w:cs="Calibri"/>
                <w:color w:val="000000"/>
                <w:sz w:val="14"/>
                <w:szCs w:val="18"/>
              </w:rPr>
              <w:t>=&gt; common AGC on LNA =&gt; 25dB only for some range</w:t>
            </w:r>
          </w:p>
        </w:tc>
      </w:tr>
      <w:tr>
        <w:tblPrEx>
          <w:tblCellMar>
            <w:top w:w="0" w:type="dxa"/>
            <w:left w:w="108" w:type="dxa"/>
            <w:bottom w:w="0" w:type="dxa"/>
            <w:right w:w="108" w:type="dxa"/>
          </w:tblCellMar>
        </w:tblPrEx>
        <w:trPr>
          <w:trHeight w:val="70" w:hRule="atLeast"/>
          <w:jc w:val="center"/>
        </w:trPr>
        <w:tc>
          <w:tcPr>
            <w:tcW w:w="498" w:type="dxa"/>
            <w:vMerge w:val="continue"/>
            <w:tcBorders>
              <w:left w:val="single" w:color="auto" w:sz="4" w:space="0"/>
              <w:bottom w:val="single" w:color="auto" w:sz="4" w:space="0"/>
              <w:right w:val="single" w:color="auto" w:sz="4" w:space="0"/>
            </w:tcBorders>
            <w:shd w:val="clear" w:color="auto" w:fill="FFFF00"/>
          </w:tcPr>
          <w:p>
            <w:pPr>
              <w:spacing w:after="0"/>
              <w:rPr>
                <w:rFonts w:ascii="Calibri" w:hAnsi="Calibri" w:eastAsia="宋体" w:cs="Calibri"/>
                <w:color w:val="000000"/>
                <w:sz w:val="14"/>
                <w:szCs w:val="18"/>
              </w:rPr>
            </w:pPr>
          </w:p>
        </w:tc>
        <w:tc>
          <w:tcPr>
            <w:tcW w:w="557" w:type="dxa"/>
            <w:tcBorders>
              <w:top w:val="nil"/>
              <w:left w:val="nil"/>
              <w:bottom w:val="single" w:color="auto" w:sz="4" w:space="0"/>
              <w:right w:val="single" w:color="auto" w:sz="4" w:space="0"/>
            </w:tcBorders>
            <w:shd w:val="clear" w:color="auto" w:fill="FFFF00"/>
            <w:noWrap/>
            <w:vAlign w:val="bottom"/>
          </w:tcPr>
          <w:p>
            <w:pPr>
              <w:spacing w:after="0"/>
              <w:jc w:val="center"/>
              <w:rPr>
                <w:rFonts w:ascii="Calibri" w:hAnsi="Calibri" w:eastAsia="宋体" w:cs="Calibri"/>
                <w:color w:val="000000"/>
                <w:sz w:val="14"/>
                <w:szCs w:val="18"/>
              </w:rPr>
            </w:pPr>
            <w:r>
              <w:rPr>
                <w:rFonts w:ascii="Calibri" w:hAnsi="Calibri" w:eastAsia="宋体" w:cs="Calibri"/>
                <w:color w:val="000000"/>
                <w:sz w:val="14"/>
                <w:szCs w:val="18"/>
              </w:rPr>
              <w:t>2</w:t>
            </w:r>
          </w:p>
        </w:tc>
        <w:tc>
          <w:tcPr>
            <w:tcW w:w="894" w:type="dxa"/>
            <w:gridSpan w:val="2"/>
            <w:vMerge w:val="continue"/>
            <w:tcBorders>
              <w:top w:val="nil"/>
              <w:left w:val="single" w:color="auto" w:sz="4" w:space="0"/>
              <w:bottom w:val="single" w:color="auto" w:sz="4" w:space="0"/>
              <w:right w:val="single" w:color="auto" w:sz="4" w:space="0"/>
            </w:tcBorders>
            <w:shd w:val="clear" w:color="auto" w:fill="FFFF00"/>
            <w:vAlign w:val="center"/>
          </w:tcPr>
          <w:p>
            <w:pPr>
              <w:spacing w:after="0"/>
              <w:rPr>
                <w:rFonts w:ascii="Calibri" w:hAnsi="Calibri" w:eastAsia="宋体" w:cs="Calibri"/>
                <w:color w:val="000000"/>
                <w:sz w:val="14"/>
                <w:szCs w:val="18"/>
              </w:rPr>
            </w:pPr>
          </w:p>
        </w:tc>
        <w:tc>
          <w:tcPr>
            <w:tcW w:w="604" w:type="dxa"/>
            <w:tcBorders>
              <w:top w:val="nil"/>
              <w:left w:val="nil"/>
              <w:bottom w:val="single" w:color="auto" w:sz="4" w:space="0"/>
              <w:right w:val="single" w:color="auto" w:sz="4" w:space="0"/>
            </w:tcBorders>
            <w:shd w:val="clear" w:color="auto" w:fill="FFFF00"/>
            <w:noWrap/>
            <w:vAlign w:val="bottom"/>
          </w:tcPr>
          <w:p>
            <w:pPr>
              <w:spacing w:after="0"/>
              <w:jc w:val="center"/>
              <w:rPr>
                <w:rFonts w:ascii="Calibri" w:hAnsi="Calibri" w:eastAsia="宋体" w:cs="Calibri"/>
                <w:color w:val="000000"/>
                <w:sz w:val="14"/>
                <w:szCs w:val="18"/>
              </w:rPr>
            </w:pPr>
            <w:r>
              <w:rPr>
                <w:rFonts w:ascii="Calibri" w:hAnsi="Calibri" w:eastAsia="宋体" w:cs="Calibri"/>
                <w:color w:val="000000"/>
                <w:sz w:val="14"/>
                <w:szCs w:val="18"/>
              </w:rPr>
              <w:t>2</w:t>
            </w:r>
          </w:p>
        </w:tc>
        <w:tc>
          <w:tcPr>
            <w:tcW w:w="622" w:type="dxa"/>
            <w:tcBorders>
              <w:top w:val="nil"/>
              <w:left w:val="nil"/>
              <w:bottom w:val="single" w:color="auto" w:sz="4" w:space="0"/>
              <w:right w:val="single" w:color="auto" w:sz="4" w:space="0"/>
            </w:tcBorders>
            <w:shd w:val="clear" w:color="auto" w:fill="FFFF00"/>
            <w:noWrap/>
            <w:vAlign w:val="bottom"/>
          </w:tcPr>
          <w:p>
            <w:pPr>
              <w:spacing w:after="0"/>
              <w:jc w:val="center"/>
              <w:rPr>
                <w:rFonts w:ascii="Calibri" w:hAnsi="Calibri" w:eastAsia="宋体" w:cs="Calibri"/>
                <w:color w:val="000000"/>
                <w:sz w:val="14"/>
                <w:szCs w:val="18"/>
              </w:rPr>
            </w:pPr>
            <w:r>
              <w:rPr>
                <w:rFonts w:ascii="Calibri" w:hAnsi="Calibri" w:eastAsia="宋体" w:cs="Calibri"/>
                <w:color w:val="000000"/>
                <w:sz w:val="14"/>
                <w:szCs w:val="18"/>
              </w:rPr>
              <w:t>2</w:t>
            </w:r>
          </w:p>
        </w:tc>
        <w:tc>
          <w:tcPr>
            <w:tcW w:w="429" w:type="dxa"/>
            <w:tcBorders>
              <w:top w:val="nil"/>
              <w:left w:val="nil"/>
              <w:bottom w:val="single" w:color="auto" w:sz="4" w:space="0"/>
              <w:right w:val="single" w:color="auto" w:sz="4" w:space="0"/>
            </w:tcBorders>
            <w:shd w:val="clear" w:color="auto" w:fill="FFFF00"/>
            <w:noWrap/>
            <w:vAlign w:val="bottom"/>
          </w:tcPr>
          <w:p>
            <w:pPr>
              <w:spacing w:after="0"/>
              <w:jc w:val="center"/>
              <w:rPr>
                <w:rFonts w:ascii="Calibri" w:hAnsi="Calibri" w:eastAsia="宋体" w:cs="Calibri"/>
                <w:color w:val="000000"/>
                <w:sz w:val="14"/>
                <w:szCs w:val="18"/>
              </w:rPr>
            </w:pPr>
            <w:r>
              <w:rPr>
                <w:rFonts w:ascii="Calibri" w:hAnsi="Calibri" w:eastAsia="宋体" w:cs="Calibri"/>
                <w:color w:val="000000"/>
                <w:sz w:val="14"/>
                <w:szCs w:val="18"/>
              </w:rPr>
              <w:t>2Rx</w:t>
            </w:r>
          </w:p>
        </w:tc>
        <w:tc>
          <w:tcPr>
            <w:tcW w:w="962" w:type="dxa"/>
            <w:vMerge w:val="continue"/>
            <w:tcBorders>
              <w:left w:val="single" w:color="auto" w:sz="4" w:space="0"/>
              <w:bottom w:val="single" w:color="auto" w:sz="4" w:space="0"/>
              <w:right w:val="single" w:color="auto" w:sz="4" w:space="0"/>
            </w:tcBorders>
            <w:shd w:val="clear" w:color="auto" w:fill="FFFF00"/>
            <w:vAlign w:val="center"/>
          </w:tcPr>
          <w:p>
            <w:pPr>
              <w:spacing w:after="0"/>
              <w:rPr>
                <w:rFonts w:ascii="Calibri" w:hAnsi="Calibri" w:eastAsia="宋体" w:cs="Calibri"/>
                <w:color w:val="000000"/>
                <w:sz w:val="14"/>
                <w:szCs w:val="18"/>
              </w:rPr>
            </w:pPr>
          </w:p>
        </w:tc>
        <w:tc>
          <w:tcPr>
            <w:tcW w:w="1030" w:type="dxa"/>
            <w:vMerge w:val="continue"/>
            <w:tcBorders>
              <w:left w:val="single" w:color="auto" w:sz="4" w:space="0"/>
              <w:bottom w:val="single" w:color="auto" w:sz="4" w:space="0"/>
              <w:right w:val="single" w:color="auto" w:sz="4" w:space="0"/>
            </w:tcBorders>
            <w:shd w:val="clear" w:color="auto" w:fill="FFFF00"/>
          </w:tcPr>
          <w:p>
            <w:pPr>
              <w:spacing w:after="0"/>
              <w:rPr>
                <w:rFonts w:ascii="Calibri" w:hAnsi="Calibri" w:eastAsia="Yu Mincho" w:cs="Calibri"/>
                <w:color w:val="000000"/>
                <w:sz w:val="14"/>
                <w:szCs w:val="18"/>
                <w:lang w:eastAsia="ja-JP"/>
              </w:rPr>
            </w:pPr>
          </w:p>
        </w:tc>
        <w:tc>
          <w:tcPr>
            <w:tcW w:w="973" w:type="dxa"/>
            <w:vMerge w:val="continue"/>
            <w:tcBorders>
              <w:top w:val="nil"/>
              <w:left w:val="single" w:color="auto" w:sz="4" w:space="0"/>
              <w:bottom w:val="single" w:color="auto" w:sz="4" w:space="0"/>
              <w:right w:val="single" w:color="auto" w:sz="4" w:space="0"/>
            </w:tcBorders>
            <w:shd w:val="clear" w:color="auto" w:fill="FFFF00"/>
            <w:vAlign w:val="center"/>
          </w:tcPr>
          <w:p>
            <w:pPr>
              <w:spacing w:after="0"/>
              <w:rPr>
                <w:rFonts w:ascii="Calibri" w:hAnsi="Calibri" w:eastAsia="宋体" w:cs="Calibri"/>
                <w:color w:val="000000"/>
                <w:sz w:val="14"/>
                <w:szCs w:val="18"/>
              </w:rPr>
            </w:pPr>
          </w:p>
        </w:tc>
        <w:tc>
          <w:tcPr>
            <w:tcW w:w="3320" w:type="dxa"/>
            <w:vMerge w:val="continue"/>
            <w:tcBorders>
              <w:top w:val="nil"/>
              <w:left w:val="single" w:color="auto" w:sz="4" w:space="0"/>
              <w:bottom w:val="single" w:color="auto" w:sz="4" w:space="0"/>
              <w:right w:val="single" w:color="auto" w:sz="4" w:space="0"/>
            </w:tcBorders>
            <w:shd w:val="clear" w:color="auto" w:fill="FFFF00"/>
            <w:vAlign w:val="center"/>
          </w:tcPr>
          <w:p>
            <w:pPr>
              <w:spacing w:after="0"/>
              <w:rPr>
                <w:rFonts w:ascii="Calibri" w:hAnsi="Calibri" w:eastAsia="宋体" w:cs="Calibri"/>
                <w:color w:val="000000"/>
                <w:sz w:val="14"/>
                <w:szCs w:val="18"/>
              </w:rPr>
            </w:pPr>
          </w:p>
        </w:tc>
      </w:tr>
      <w:tr>
        <w:tblPrEx>
          <w:tblCellMar>
            <w:top w:w="0" w:type="dxa"/>
            <w:left w:w="108" w:type="dxa"/>
            <w:bottom w:w="0" w:type="dxa"/>
            <w:right w:w="108" w:type="dxa"/>
          </w:tblCellMar>
        </w:tblPrEx>
        <w:trPr>
          <w:trHeight w:val="70" w:hRule="atLeast"/>
          <w:jc w:val="center"/>
        </w:trPr>
        <w:tc>
          <w:tcPr>
            <w:tcW w:w="498" w:type="dxa"/>
            <w:vMerge w:val="restart"/>
            <w:tcBorders>
              <w:top w:val="nil"/>
              <w:left w:val="single" w:color="auto" w:sz="4" w:space="0"/>
              <w:right w:val="single" w:color="auto" w:sz="4" w:space="0"/>
            </w:tcBorders>
            <w:shd w:val="clear" w:color="auto" w:fill="FFFF00"/>
          </w:tcPr>
          <w:p>
            <w:pPr>
              <w:spacing w:after="0"/>
              <w:jc w:val="center"/>
              <w:rPr>
                <w:rFonts w:ascii="Calibri" w:hAnsi="Calibri" w:eastAsia="宋体" w:cs="Calibri"/>
                <w:b/>
                <w:bCs/>
                <w:color w:val="000000"/>
                <w:sz w:val="14"/>
                <w:szCs w:val="18"/>
              </w:rPr>
            </w:pPr>
            <w:r>
              <w:rPr>
                <w:rFonts w:ascii="Calibri" w:hAnsi="Calibri" w:eastAsia="宋体" w:cs="Calibri"/>
                <w:b/>
                <w:bCs/>
                <w:color w:val="000000"/>
                <w:sz w:val="14"/>
                <w:szCs w:val="18"/>
              </w:rPr>
              <w:t>3b</w:t>
            </w:r>
          </w:p>
        </w:tc>
        <w:tc>
          <w:tcPr>
            <w:tcW w:w="557" w:type="dxa"/>
            <w:tcBorders>
              <w:top w:val="nil"/>
              <w:left w:val="nil"/>
              <w:bottom w:val="single" w:color="auto" w:sz="4" w:space="0"/>
              <w:right w:val="single" w:color="auto" w:sz="4" w:space="0"/>
            </w:tcBorders>
            <w:shd w:val="clear" w:color="auto" w:fill="FFFF00"/>
            <w:noWrap/>
            <w:vAlign w:val="bottom"/>
          </w:tcPr>
          <w:p>
            <w:pPr>
              <w:spacing w:after="0"/>
              <w:jc w:val="center"/>
              <w:rPr>
                <w:rFonts w:ascii="Calibri" w:hAnsi="Calibri" w:eastAsia="宋体" w:cs="Calibri"/>
                <w:color w:val="000000"/>
                <w:sz w:val="14"/>
                <w:szCs w:val="18"/>
              </w:rPr>
            </w:pPr>
            <w:r>
              <w:rPr>
                <w:rFonts w:ascii="Calibri" w:hAnsi="Calibri" w:eastAsia="宋体" w:cs="Calibri"/>
                <w:color w:val="000000"/>
                <w:sz w:val="14"/>
                <w:szCs w:val="18"/>
              </w:rPr>
              <w:t>1</w:t>
            </w:r>
          </w:p>
        </w:tc>
        <w:tc>
          <w:tcPr>
            <w:tcW w:w="894" w:type="dxa"/>
            <w:gridSpan w:val="2"/>
            <w:vMerge w:val="restart"/>
            <w:tcBorders>
              <w:top w:val="nil"/>
              <w:left w:val="single" w:color="auto" w:sz="4" w:space="0"/>
              <w:bottom w:val="single" w:color="auto" w:sz="4" w:space="0"/>
              <w:right w:val="single" w:color="auto" w:sz="4" w:space="0"/>
            </w:tcBorders>
            <w:shd w:val="clear" w:color="auto" w:fill="FFFF00"/>
            <w:vAlign w:val="bottom"/>
          </w:tcPr>
          <w:p>
            <w:pPr>
              <w:spacing w:after="0"/>
              <w:jc w:val="center"/>
              <w:rPr>
                <w:rFonts w:ascii="Calibri" w:hAnsi="Calibri" w:eastAsia="宋体" w:cs="Calibri"/>
                <w:color w:val="000000"/>
                <w:sz w:val="14"/>
                <w:szCs w:val="18"/>
              </w:rPr>
            </w:pPr>
            <w:r>
              <w:rPr>
                <w:rFonts w:ascii="Calibri" w:hAnsi="Calibri" w:eastAsia="宋体" w:cs="Calibri"/>
                <w:color w:val="000000"/>
                <w:sz w:val="14"/>
                <w:szCs w:val="18"/>
              </w:rPr>
              <w:t>4</w:t>
            </w:r>
            <w:r>
              <w:rPr>
                <w:rFonts w:ascii="Calibri" w:hAnsi="Calibri" w:eastAsia="宋体" w:cs="Calibri"/>
                <w:color w:val="000000"/>
                <w:sz w:val="14"/>
                <w:szCs w:val="18"/>
              </w:rPr>
              <w:br w:type="textWrapping"/>
            </w:r>
            <w:r>
              <w:rPr>
                <w:rFonts w:ascii="Calibri" w:hAnsi="Calibri" w:eastAsia="宋体" w:cs="Calibri"/>
                <w:color w:val="000000"/>
                <w:sz w:val="14"/>
                <w:szCs w:val="18"/>
              </w:rPr>
              <w:t>shared</w:t>
            </w:r>
          </w:p>
        </w:tc>
        <w:tc>
          <w:tcPr>
            <w:tcW w:w="604" w:type="dxa"/>
            <w:tcBorders>
              <w:top w:val="nil"/>
              <w:left w:val="nil"/>
              <w:bottom w:val="single" w:color="auto" w:sz="4" w:space="0"/>
              <w:right w:val="single" w:color="auto" w:sz="4" w:space="0"/>
            </w:tcBorders>
            <w:shd w:val="clear" w:color="auto" w:fill="FFFF00"/>
            <w:noWrap/>
            <w:vAlign w:val="bottom"/>
          </w:tcPr>
          <w:p>
            <w:pPr>
              <w:spacing w:after="0"/>
              <w:jc w:val="center"/>
              <w:rPr>
                <w:rFonts w:ascii="Calibri" w:hAnsi="Calibri" w:eastAsia="宋体" w:cs="Calibri"/>
                <w:color w:val="000000"/>
                <w:sz w:val="14"/>
                <w:szCs w:val="18"/>
              </w:rPr>
            </w:pPr>
            <w:r>
              <w:rPr>
                <w:rFonts w:ascii="Calibri" w:hAnsi="Calibri" w:eastAsia="宋体" w:cs="Calibri"/>
                <w:color w:val="000000"/>
                <w:sz w:val="14"/>
                <w:szCs w:val="18"/>
              </w:rPr>
              <w:t>4</w:t>
            </w:r>
          </w:p>
        </w:tc>
        <w:tc>
          <w:tcPr>
            <w:tcW w:w="622" w:type="dxa"/>
            <w:tcBorders>
              <w:top w:val="nil"/>
              <w:left w:val="nil"/>
              <w:bottom w:val="single" w:color="auto" w:sz="4" w:space="0"/>
              <w:right w:val="single" w:color="auto" w:sz="4" w:space="0"/>
            </w:tcBorders>
            <w:shd w:val="clear" w:color="auto" w:fill="FFFF00"/>
            <w:noWrap/>
            <w:vAlign w:val="bottom"/>
          </w:tcPr>
          <w:p>
            <w:pPr>
              <w:spacing w:after="0"/>
              <w:jc w:val="center"/>
              <w:rPr>
                <w:rFonts w:ascii="Calibri" w:hAnsi="Calibri" w:eastAsia="宋体" w:cs="Calibri"/>
                <w:color w:val="000000"/>
                <w:sz w:val="14"/>
                <w:szCs w:val="18"/>
              </w:rPr>
            </w:pPr>
            <w:r>
              <w:rPr>
                <w:rFonts w:ascii="Calibri" w:hAnsi="Calibri" w:eastAsia="宋体" w:cs="Calibri"/>
                <w:color w:val="000000"/>
                <w:sz w:val="14"/>
                <w:szCs w:val="18"/>
              </w:rPr>
              <w:t>4</w:t>
            </w:r>
          </w:p>
        </w:tc>
        <w:tc>
          <w:tcPr>
            <w:tcW w:w="429" w:type="dxa"/>
            <w:tcBorders>
              <w:top w:val="nil"/>
              <w:left w:val="nil"/>
              <w:bottom w:val="single" w:color="auto" w:sz="4" w:space="0"/>
              <w:right w:val="single" w:color="auto" w:sz="4" w:space="0"/>
            </w:tcBorders>
            <w:shd w:val="clear" w:color="auto" w:fill="FFFF00"/>
            <w:noWrap/>
            <w:vAlign w:val="bottom"/>
          </w:tcPr>
          <w:p>
            <w:pPr>
              <w:spacing w:after="0"/>
              <w:jc w:val="center"/>
              <w:rPr>
                <w:rFonts w:ascii="Calibri" w:hAnsi="Calibri" w:eastAsia="宋体" w:cs="Calibri"/>
                <w:color w:val="000000"/>
                <w:sz w:val="14"/>
                <w:szCs w:val="18"/>
              </w:rPr>
            </w:pPr>
            <w:r>
              <w:rPr>
                <w:rFonts w:ascii="Calibri" w:hAnsi="Calibri" w:eastAsia="宋体" w:cs="Calibri"/>
                <w:color w:val="000000"/>
                <w:sz w:val="14"/>
                <w:szCs w:val="18"/>
              </w:rPr>
              <w:t>4Rx</w:t>
            </w:r>
          </w:p>
        </w:tc>
        <w:tc>
          <w:tcPr>
            <w:tcW w:w="962" w:type="dxa"/>
            <w:vMerge w:val="restart"/>
            <w:tcBorders>
              <w:top w:val="nil"/>
              <w:left w:val="single" w:color="auto" w:sz="4" w:space="0"/>
              <w:right w:val="single" w:color="auto" w:sz="4" w:space="0"/>
            </w:tcBorders>
            <w:shd w:val="clear" w:color="auto" w:fill="FFFF00"/>
            <w:vAlign w:val="bottom"/>
          </w:tcPr>
          <w:p>
            <w:pPr>
              <w:spacing w:after="0"/>
              <w:jc w:val="center"/>
              <w:rPr>
                <w:rFonts w:ascii="Calibri" w:hAnsi="Calibri" w:eastAsia="宋体" w:cs="Calibri"/>
                <w:color w:val="000000"/>
                <w:sz w:val="14"/>
                <w:szCs w:val="18"/>
              </w:rPr>
            </w:pPr>
            <w:r>
              <w:rPr>
                <w:rFonts w:ascii="Calibri" w:hAnsi="Calibri" w:eastAsia="宋体" w:cs="Calibri"/>
                <w:color w:val="000000"/>
                <w:sz w:val="14"/>
                <w:szCs w:val="18"/>
              </w:rPr>
              <w:t>No limitation or ≤ X MHz</w:t>
            </w:r>
          </w:p>
        </w:tc>
        <w:tc>
          <w:tcPr>
            <w:tcW w:w="1030" w:type="dxa"/>
            <w:vMerge w:val="restart"/>
            <w:tcBorders>
              <w:top w:val="nil"/>
              <w:left w:val="single" w:color="auto" w:sz="4" w:space="0"/>
              <w:right w:val="single" w:color="auto" w:sz="4" w:space="0"/>
            </w:tcBorders>
            <w:shd w:val="clear" w:color="auto" w:fill="FFFF00"/>
          </w:tcPr>
          <w:p>
            <w:pPr>
              <w:spacing w:after="0"/>
              <w:jc w:val="center"/>
              <w:rPr>
                <w:rFonts w:ascii="Calibri" w:hAnsi="Calibri" w:eastAsia="宋体" w:cs="Calibri"/>
                <w:color w:val="000000"/>
                <w:sz w:val="14"/>
                <w:szCs w:val="18"/>
              </w:rPr>
            </w:pPr>
            <w:r>
              <w:rPr>
                <w:rFonts w:hint="eastAsia" w:ascii="Calibri" w:hAnsi="Calibri" w:eastAsia="Yu Mincho" w:cs="Calibri"/>
                <w:color w:val="000000"/>
                <w:sz w:val="14"/>
                <w:szCs w:val="18"/>
                <w:lang w:eastAsia="ja-JP"/>
              </w:rPr>
              <w:t>N</w:t>
            </w:r>
            <w:r>
              <w:rPr>
                <w:rFonts w:ascii="Calibri" w:hAnsi="Calibri" w:eastAsia="Yu Mincho" w:cs="Calibri"/>
                <w:color w:val="000000"/>
                <w:sz w:val="14"/>
                <w:szCs w:val="18"/>
                <w:lang w:eastAsia="ja-JP"/>
              </w:rPr>
              <w:t>RCA,</w:t>
            </w:r>
            <w:r>
              <w:rPr>
                <w:rFonts w:hint="eastAsia" w:ascii="Calibri" w:hAnsi="Calibri" w:eastAsia="Yu Mincho" w:cs="Calibri"/>
                <w:color w:val="000000"/>
                <w:sz w:val="14"/>
                <w:szCs w:val="18"/>
                <w:lang w:eastAsia="ja-JP"/>
              </w:rPr>
              <w:t>E</w:t>
            </w:r>
            <w:r>
              <w:rPr>
                <w:rFonts w:ascii="Calibri" w:hAnsi="Calibri" w:eastAsia="Yu Mincho" w:cs="Calibri"/>
                <w:color w:val="000000"/>
                <w:sz w:val="14"/>
                <w:szCs w:val="18"/>
                <w:lang w:eastAsia="ja-JP"/>
              </w:rPr>
              <w:t>NDC</w:t>
            </w:r>
          </w:p>
        </w:tc>
        <w:tc>
          <w:tcPr>
            <w:tcW w:w="973" w:type="dxa"/>
            <w:vMerge w:val="restart"/>
            <w:tcBorders>
              <w:top w:val="nil"/>
              <w:left w:val="single" w:color="auto" w:sz="4" w:space="0"/>
              <w:bottom w:val="single" w:color="auto" w:sz="4" w:space="0"/>
              <w:right w:val="single" w:color="auto" w:sz="4" w:space="0"/>
            </w:tcBorders>
            <w:shd w:val="clear" w:color="auto" w:fill="FFFF00"/>
            <w:noWrap/>
            <w:vAlign w:val="bottom"/>
          </w:tcPr>
          <w:p>
            <w:pPr>
              <w:spacing w:after="0"/>
              <w:jc w:val="center"/>
              <w:rPr>
                <w:rFonts w:ascii="Calibri" w:hAnsi="Calibri" w:eastAsia="宋体" w:cs="Calibri"/>
                <w:color w:val="000000"/>
                <w:sz w:val="14"/>
                <w:szCs w:val="18"/>
              </w:rPr>
            </w:pPr>
            <w:r>
              <w:rPr>
                <w:rFonts w:ascii="Calibri" w:hAnsi="Calibri" w:eastAsia="宋体" w:cs="Calibri"/>
                <w:color w:val="000000"/>
                <w:sz w:val="14"/>
                <w:szCs w:val="18"/>
              </w:rPr>
              <w:t>6&lt;P≤25dB</w:t>
            </w:r>
            <w:r>
              <w:rPr>
                <w:rFonts w:ascii="Calibri" w:hAnsi="Calibri" w:eastAsia="宋体" w:cs="Calibri"/>
                <w:color w:val="000000"/>
                <w:sz w:val="14"/>
                <w:szCs w:val="18"/>
              </w:rPr>
              <w:br w:type="textWrapping"/>
            </w:r>
            <w:r>
              <w:rPr>
                <w:rFonts w:ascii="Calibri" w:hAnsi="Calibri" w:eastAsia="宋体" w:cs="Calibri"/>
                <w:color w:val="000000"/>
                <w:sz w:val="14"/>
                <w:szCs w:val="18"/>
              </w:rPr>
              <w:t>partial range</w:t>
            </w:r>
          </w:p>
        </w:tc>
        <w:tc>
          <w:tcPr>
            <w:tcW w:w="3320" w:type="dxa"/>
            <w:vMerge w:val="restart"/>
            <w:tcBorders>
              <w:top w:val="nil"/>
              <w:left w:val="single" w:color="auto" w:sz="4" w:space="0"/>
              <w:bottom w:val="single" w:color="auto" w:sz="4" w:space="0"/>
              <w:right w:val="single" w:color="auto" w:sz="4" w:space="0"/>
            </w:tcBorders>
            <w:shd w:val="clear" w:color="auto" w:fill="FFFF00"/>
            <w:vAlign w:val="bottom"/>
          </w:tcPr>
          <w:p>
            <w:pPr>
              <w:spacing w:after="0"/>
              <w:rPr>
                <w:rFonts w:ascii="Calibri" w:hAnsi="Calibri" w:eastAsia="宋体" w:cs="Calibri"/>
                <w:color w:val="000000"/>
                <w:sz w:val="14"/>
                <w:szCs w:val="18"/>
              </w:rPr>
            </w:pPr>
            <w:r>
              <w:rPr>
                <w:rFonts w:ascii="Calibri" w:hAnsi="Calibri" w:eastAsia="宋体" w:cs="Calibri"/>
                <w:color w:val="000000"/>
                <w:sz w:val="14"/>
                <w:szCs w:val="18"/>
              </w:rPr>
              <w:t xml:space="preserve">Reuse of baseline RFFE architecture adding RF split after 2 LNAs + 1BB/Rx </w:t>
            </w:r>
            <w:r>
              <w:rPr>
                <w:rFonts w:ascii="Calibri" w:hAnsi="Calibri" w:eastAsia="宋体" w:cs="Calibri"/>
                <w:color w:val="000000"/>
                <w:sz w:val="14"/>
                <w:szCs w:val="18"/>
              </w:rPr>
              <w:br w:type="textWrapping"/>
            </w:r>
            <w:r>
              <w:rPr>
                <w:rFonts w:ascii="Calibri" w:hAnsi="Calibri" w:eastAsia="宋体" w:cs="Calibri"/>
                <w:color w:val="000000"/>
                <w:sz w:val="14"/>
                <w:szCs w:val="18"/>
              </w:rPr>
              <w:t>=&gt; common AGC on LNA =&gt; 25dB only for some range</w:t>
            </w:r>
          </w:p>
        </w:tc>
      </w:tr>
      <w:tr>
        <w:tblPrEx>
          <w:tblCellMar>
            <w:top w:w="0" w:type="dxa"/>
            <w:left w:w="108" w:type="dxa"/>
            <w:bottom w:w="0" w:type="dxa"/>
            <w:right w:w="108" w:type="dxa"/>
          </w:tblCellMar>
        </w:tblPrEx>
        <w:trPr>
          <w:trHeight w:val="70" w:hRule="atLeast"/>
          <w:jc w:val="center"/>
        </w:trPr>
        <w:tc>
          <w:tcPr>
            <w:tcW w:w="498" w:type="dxa"/>
            <w:vMerge w:val="continue"/>
            <w:tcBorders>
              <w:left w:val="single" w:color="auto" w:sz="4" w:space="0"/>
              <w:bottom w:val="single" w:color="auto" w:sz="4" w:space="0"/>
              <w:right w:val="single" w:color="auto" w:sz="4" w:space="0"/>
            </w:tcBorders>
            <w:shd w:val="clear" w:color="auto" w:fill="FFFF00"/>
          </w:tcPr>
          <w:p>
            <w:pPr>
              <w:spacing w:after="0"/>
              <w:rPr>
                <w:rFonts w:ascii="Calibri" w:hAnsi="Calibri" w:eastAsia="宋体" w:cs="Calibri"/>
                <w:color w:val="000000"/>
                <w:sz w:val="14"/>
                <w:szCs w:val="18"/>
              </w:rPr>
            </w:pPr>
          </w:p>
        </w:tc>
        <w:tc>
          <w:tcPr>
            <w:tcW w:w="557" w:type="dxa"/>
            <w:tcBorders>
              <w:top w:val="nil"/>
              <w:left w:val="nil"/>
              <w:bottom w:val="single" w:color="auto" w:sz="4" w:space="0"/>
              <w:right w:val="single" w:color="auto" w:sz="4" w:space="0"/>
            </w:tcBorders>
            <w:shd w:val="clear" w:color="auto" w:fill="FFFF00"/>
            <w:noWrap/>
            <w:vAlign w:val="bottom"/>
          </w:tcPr>
          <w:p>
            <w:pPr>
              <w:spacing w:after="0"/>
              <w:jc w:val="center"/>
              <w:rPr>
                <w:rFonts w:ascii="Calibri" w:hAnsi="Calibri" w:eastAsia="宋体" w:cs="Calibri"/>
                <w:color w:val="000000"/>
                <w:sz w:val="14"/>
                <w:szCs w:val="18"/>
              </w:rPr>
            </w:pPr>
            <w:r>
              <w:rPr>
                <w:rFonts w:ascii="Calibri" w:hAnsi="Calibri" w:eastAsia="宋体" w:cs="Calibri"/>
                <w:color w:val="000000"/>
                <w:sz w:val="14"/>
                <w:szCs w:val="18"/>
              </w:rPr>
              <w:t>2</w:t>
            </w:r>
          </w:p>
        </w:tc>
        <w:tc>
          <w:tcPr>
            <w:tcW w:w="894" w:type="dxa"/>
            <w:gridSpan w:val="2"/>
            <w:vMerge w:val="continue"/>
            <w:tcBorders>
              <w:top w:val="nil"/>
              <w:left w:val="single" w:color="auto" w:sz="4" w:space="0"/>
              <w:bottom w:val="single" w:color="auto" w:sz="4" w:space="0"/>
              <w:right w:val="single" w:color="auto" w:sz="4" w:space="0"/>
            </w:tcBorders>
            <w:shd w:val="clear" w:color="auto" w:fill="FFFF00"/>
            <w:vAlign w:val="center"/>
          </w:tcPr>
          <w:p>
            <w:pPr>
              <w:spacing w:after="0"/>
              <w:rPr>
                <w:rFonts w:ascii="Calibri" w:hAnsi="Calibri" w:eastAsia="宋体" w:cs="Calibri"/>
                <w:color w:val="000000"/>
                <w:sz w:val="14"/>
                <w:szCs w:val="18"/>
              </w:rPr>
            </w:pPr>
          </w:p>
        </w:tc>
        <w:tc>
          <w:tcPr>
            <w:tcW w:w="604" w:type="dxa"/>
            <w:tcBorders>
              <w:top w:val="nil"/>
              <w:left w:val="nil"/>
              <w:bottom w:val="single" w:color="auto" w:sz="4" w:space="0"/>
              <w:right w:val="single" w:color="auto" w:sz="4" w:space="0"/>
            </w:tcBorders>
            <w:shd w:val="clear" w:color="auto" w:fill="FFFF00"/>
            <w:noWrap/>
            <w:vAlign w:val="bottom"/>
          </w:tcPr>
          <w:p>
            <w:pPr>
              <w:spacing w:after="0"/>
              <w:jc w:val="center"/>
              <w:rPr>
                <w:rFonts w:ascii="Calibri" w:hAnsi="Calibri" w:eastAsia="宋体" w:cs="Calibri"/>
                <w:color w:val="000000"/>
                <w:sz w:val="14"/>
                <w:szCs w:val="18"/>
              </w:rPr>
            </w:pPr>
            <w:r>
              <w:rPr>
                <w:rFonts w:ascii="Calibri" w:hAnsi="Calibri" w:eastAsia="宋体" w:cs="Calibri"/>
                <w:color w:val="000000"/>
                <w:sz w:val="14"/>
                <w:szCs w:val="18"/>
              </w:rPr>
              <w:t>4</w:t>
            </w:r>
          </w:p>
        </w:tc>
        <w:tc>
          <w:tcPr>
            <w:tcW w:w="622" w:type="dxa"/>
            <w:tcBorders>
              <w:top w:val="nil"/>
              <w:left w:val="nil"/>
              <w:bottom w:val="single" w:color="auto" w:sz="4" w:space="0"/>
              <w:right w:val="single" w:color="auto" w:sz="4" w:space="0"/>
            </w:tcBorders>
            <w:shd w:val="clear" w:color="auto" w:fill="FFFF00"/>
            <w:noWrap/>
            <w:vAlign w:val="bottom"/>
          </w:tcPr>
          <w:p>
            <w:pPr>
              <w:spacing w:after="0"/>
              <w:jc w:val="center"/>
              <w:rPr>
                <w:rFonts w:ascii="Calibri" w:hAnsi="Calibri" w:eastAsia="宋体" w:cs="Calibri"/>
                <w:color w:val="000000"/>
                <w:sz w:val="14"/>
                <w:szCs w:val="18"/>
              </w:rPr>
            </w:pPr>
            <w:r>
              <w:rPr>
                <w:rFonts w:ascii="Calibri" w:hAnsi="Calibri" w:eastAsia="宋体" w:cs="Calibri"/>
                <w:color w:val="000000"/>
                <w:sz w:val="14"/>
                <w:szCs w:val="18"/>
              </w:rPr>
              <w:t>4</w:t>
            </w:r>
          </w:p>
        </w:tc>
        <w:tc>
          <w:tcPr>
            <w:tcW w:w="429" w:type="dxa"/>
            <w:tcBorders>
              <w:top w:val="nil"/>
              <w:left w:val="nil"/>
              <w:bottom w:val="single" w:color="auto" w:sz="4" w:space="0"/>
              <w:right w:val="single" w:color="auto" w:sz="4" w:space="0"/>
            </w:tcBorders>
            <w:shd w:val="clear" w:color="auto" w:fill="FFFF00"/>
            <w:noWrap/>
            <w:vAlign w:val="bottom"/>
          </w:tcPr>
          <w:p>
            <w:pPr>
              <w:spacing w:after="0"/>
              <w:jc w:val="center"/>
              <w:rPr>
                <w:rFonts w:ascii="Calibri" w:hAnsi="Calibri" w:eastAsia="宋体" w:cs="Calibri"/>
                <w:color w:val="000000"/>
                <w:sz w:val="14"/>
                <w:szCs w:val="18"/>
              </w:rPr>
            </w:pPr>
            <w:r>
              <w:rPr>
                <w:rFonts w:ascii="Calibri" w:hAnsi="Calibri" w:eastAsia="宋体" w:cs="Calibri"/>
                <w:color w:val="000000"/>
                <w:sz w:val="14"/>
                <w:szCs w:val="18"/>
              </w:rPr>
              <w:t>4Rx</w:t>
            </w:r>
          </w:p>
        </w:tc>
        <w:tc>
          <w:tcPr>
            <w:tcW w:w="962" w:type="dxa"/>
            <w:vMerge w:val="continue"/>
            <w:tcBorders>
              <w:left w:val="single" w:color="auto" w:sz="4" w:space="0"/>
              <w:bottom w:val="single" w:color="auto" w:sz="4" w:space="0"/>
              <w:right w:val="single" w:color="auto" w:sz="4" w:space="0"/>
            </w:tcBorders>
            <w:vAlign w:val="center"/>
          </w:tcPr>
          <w:p>
            <w:pPr>
              <w:spacing w:after="0"/>
              <w:rPr>
                <w:rFonts w:ascii="Calibri" w:hAnsi="Calibri" w:eastAsia="宋体" w:cs="Calibri"/>
                <w:color w:val="000000"/>
                <w:sz w:val="14"/>
                <w:szCs w:val="18"/>
              </w:rPr>
            </w:pPr>
          </w:p>
        </w:tc>
        <w:tc>
          <w:tcPr>
            <w:tcW w:w="1030" w:type="dxa"/>
            <w:vMerge w:val="continue"/>
            <w:tcBorders>
              <w:left w:val="single" w:color="auto" w:sz="4" w:space="0"/>
              <w:bottom w:val="single" w:color="auto" w:sz="4" w:space="0"/>
              <w:right w:val="single" w:color="auto" w:sz="4" w:space="0"/>
            </w:tcBorders>
          </w:tcPr>
          <w:p>
            <w:pPr>
              <w:spacing w:after="0"/>
              <w:jc w:val="center"/>
              <w:rPr>
                <w:rFonts w:ascii="Calibri" w:hAnsi="Calibri" w:eastAsia="宋体" w:cs="Calibri"/>
                <w:color w:val="000000"/>
                <w:sz w:val="14"/>
                <w:szCs w:val="18"/>
              </w:rPr>
            </w:pPr>
          </w:p>
        </w:tc>
        <w:tc>
          <w:tcPr>
            <w:tcW w:w="973" w:type="dxa"/>
            <w:vMerge w:val="continue"/>
            <w:tcBorders>
              <w:top w:val="nil"/>
              <w:left w:val="single" w:color="auto" w:sz="4" w:space="0"/>
              <w:bottom w:val="single" w:color="auto" w:sz="4" w:space="0"/>
              <w:right w:val="single" w:color="auto" w:sz="4" w:space="0"/>
            </w:tcBorders>
            <w:vAlign w:val="center"/>
          </w:tcPr>
          <w:p>
            <w:pPr>
              <w:spacing w:after="0"/>
              <w:rPr>
                <w:rFonts w:ascii="Calibri" w:hAnsi="Calibri" w:eastAsia="宋体" w:cs="Calibri"/>
                <w:color w:val="000000"/>
                <w:sz w:val="14"/>
                <w:szCs w:val="18"/>
              </w:rPr>
            </w:pPr>
          </w:p>
        </w:tc>
        <w:tc>
          <w:tcPr>
            <w:tcW w:w="3320" w:type="dxa"/>
            <w:vMerge w:val="continue"/>
            <w:tcBorders>
              <w:top w:val="nil"/>
              <w:left w:val="single" w:color="auto" w:sz="4" w:space="0"/>
              <w:bottom w:val="single" w:color="auto" w:sz="4" w:space="0"/>
              <w:right w:val="single" w:color="auto" w:sz="4" w:space="0"/>
            </w:tcBorders>
            <w:vAlign w:val="center"/>
          </w:tcPr>
          <w:p>
            <w:pPr>
              <w:spacing w:after="0"/>
              <w:rPr>
                <w:rFonts w:ascii="Calibri" w:hAnsi="Calibri" w:eastAsia="宋体" w:cs="Calibri"/>
                <w:color w:val="000000"/>
                <w:sz w:val="14"/>
                <w:szCs w:val="18"/>
              </w:rPr>
            </w:pPr>
          </w:p>
        </w:tc>
      </w:tr>
      <w:tr>
        <w:tblPrEx>
          <w:tblCellMar>
            <w:top w:w="0" w:type="dxa"/>
            <w:left w:w="108" w:type="dxa"/>
            <w:bottom w:w="0" w:type="dxa"/>
            <w:right w:w="108" w:type="dxa"/>
          </w:tblCellMar>
        </w:tblPrEx>
        <w:trPr>
          <w:trHeight w:val="70" w:hRule="atLeast"/>
          <w:jc w:val="center"/>
        </w:trPr>
        <w:tc>
          <w:tcPr>
            <w:tcW w:w="498" w:type="dxa"/>
            <w:vMerge w:val="restart"/>
            <w:tcBorders>
              <w:top w:val="nil"/>
              <w:left w:val="single" w:color="auto" w:sz="4" w:space="0"/>
              <w:right w:val="single" w:color="auto" w:sz="4" w:space="0"/>
            </w:tcBorders>
            <w:shd w:val="clear" w:color="auto" w:fill="auto"/>
          </w:tcPr>
          <w:p>
            <w:pPr>
              <w:spacing w:after="0"/>
              <w:jc w:val="center"/>
              <w:rPr>
                <w:rFonts w:ascii="Calibri" w:hAnsi="Calibri" w:eastAsia="宋体" w:cs="Calibri"/>
                <w:b/>
                <w:bCs/>
                <w:color w:val="000000"/>
                <w:sz w:val="14"/>
                <w:szCs w:val="18"/>
              </w:rPr>
            </w:pPr>
            <w:r>
              <w:rPr>
                <w:rFonts w:ascii="Calibri" w:hAnsi="Calibri" w:eastAsia="宋体" w:cs="Calibri"/>
                <w:b/>
                <w:bCs/>
                <w:color w:val="000000"/>
                <w:sz w:val="14"/>
                <w:szCs w:val="18"/>
              </w:rPr>
              <w:t>4a</w:t>
            </w:r>
          </w:p>
        </w:tc>
        <w:tc>
          <w:tcPr>
            <w:tcW w:w="557" w:type="dxa"/>
            <w:tcBorders>
              <w:top w:val="nil"/>
              <w:left w:val="nil"/>
              <w:bottom w:val="single" w:color="auto" w:sz="4" w:space="0"/>
              <w:right w:val="single" w:color="auto" w:sz="4" w:space="0"/>
            </w:tcBorders>
            <w:shd w:val="clear" w:color="auto" w:fill="auto"/>
            <w:noWrap/>
            <w:vAlign w:val="bottom"/>
          </w:tcPr>
          <w:p>
            <w:pPr>
              <w:spacing w:after="0"/>
              <w:jc w:val="center"/>
              <w:rPr>
                <w:rFonts w:ascii="Calibri" w:hAnsi="Calibri" w:eastAsia="宋体" w:cs="Calibri"/>
                <w:color w:val="000000"/>
                <w:sz w:val="14"/>
                <w:szCs w:val="18"/>
              </w:rPr>
            </w:pPr>
            <w:r>
              <w:rPr>
                <w:rFonts w:ascii="Calibri" w:hAnsi="Calibri" w:eastAsia="宋体" w:cs="Calibri"/>
                <w:color w:val="000000"/>
                <w:sz w:val="14"/>
                <w:szCs w:val="18"/>
              </w:rPr>
              <w:t>1</w:t>
            </w:r>
          </w:p>
        </w:tc>
        <w:tc>
          <w:tcPr>
            <w:tcW w:w="411" w:type="dxa"/>
            <w:tcBorders>
              <w:top w:val="nil"/>
              <w:left w:val="nil"/>
              <w:bottom w:val="single" w:color="auto" w:sz="4" w:space="0"/>
              <w:right w:val="single" w:color="auto" w:sz="4" w:space="0"/>
            </w:tcBorders>
            <w:shd w:val="clear" w:color="auto" w:fill="auto"/>
            <w:noWrap/>
            <w:vAlign w:val="bottom"/>
          </w:tcPr>
          <w:p>
            <w:pPr>
              <w:spacing w:after="0"/>
              <w:jc w:val="center"/>
              <w:rPr>
                <w:rFonts w:ascii="Calibri" w:hAnsi="Calibri" w:eastAsia="宋体" w:cs="Calibri"/>
                <w:color w:val="000000"/>
                <w:sz w:val="14"/>
                <w:szCs w:val="18"/>
              </w:rPr>
            </w:pPr>
            <w:r>
              <w:rPr>
                <w:rFonts w:ascii="Calibri" w:hAnsi="Calibri" w:eastAsia="宋体" w:cs="Calibri"/>
                <w:color w:val="000000"/>
                <w:sz w:val="14"/>
                <w:szCs w:val="18"/>
              </w:rPr>
              <w:t>4</w:t>
            </w:r>
          </w:p>
        </w:tc>
        <w:tc>
          <w:tcPr>
            <w:tcW w:w="483" w:type="dxa"/>
            <w:vMerge w:val="restart"/>
            <w:tcBorders>
              <w:top w:val="nil"/>
              <w:left w:val="nil"/>
              <w:right w:val="single" w:color="auto" w:sz="4" w:space="0"/>
            </w:tcBorders>
            <w:shd w:val="clear" w:color="auto" w:fill="auto"/>
            <w:vAlign w:val="bottom"/>
          </w:tcPr>
          <w:p>
            <w:pPr>
              <w:spacing w:after="0"/>
              <w:jc w:val="center"/>
              <w:rPr>
                <w:rFonts w:ascii="Calibri" w:hAnsi="Calibri" w:eastAsia="Yu Mincho" w:cs="Calibri"/>
                <w:color w:val="000000"/>
                <w:sz w:val="14"/>
                <w:szCs w:val="18"/>
                <w:lang w:eastAsia="ja-JP"/>
              </w:rPr>
            </w:pPr>
            <w:r>
              <w:rPr>
                <w:rFonts w:hint="eastAsia" w:ascii="Calibri" w:hAnsi="Calibri" w:eastAsia="Yu Mincho" w:cs="Calibri"/>
                <w:color w:val="000000"/>
                <w:sz w:val="14"/>
                <w:szCs w:val="18"/>
                <w:lang w:eastAsia="ja-JP"/>
              </w:rPr>
              <w:t>6</w:t>
            </w:r>
          </w:p>
          <w:p>
            <w:pPr>
              <w:spacing w:after="0"/>
              <w:jc w:val="center"/>
              <w:rPr>
                <w:rFonts w:ascii="Calibri" w:hAnsi="Calibri" w:eastAsia="Yu Mincho" w:cs="Calibri"/>
                <w:color w:val="000000"/>
                <w:sz w:val="14"/>
                <w:szCs w:val="18"/>
                <w:lang w:eastAsia="ja-JP"/>
              </w:rPr>
            </w:pPr>
            <w:r>
              <w:rPr>
                <w:rFonts w:ascii="Calibri" w:hAnsi="Calibri" w:eastAsia="Yu Mincho" w:cs="Calibri"/>
                <w:color w:val="000000"/>
                <w:sz w:val="14"/>
                <w:szCs w:val="18"/>
                <w:lang w:eastAsia="ja-JP"/>
              </w:rPr>
              <w:t>total</w:t>
            </w:r>
          </w:p>
        </w:tc>
        <w:tc>
          <w:tcPr>
            <w:tcW w:w="604" w:type="dxa"/>
            <w:tcBorders>
              <w:top w:val="nil"/>
              <w:left w:val="nil"/>
              <w:bottom w:val="single" w:color="auto" w:sz="4" w:space="0"/>
              <w:right w:val="single" w:color="auto" w:sz="4" w:space="0"/>
            </w:tcBorders>
            <w:shd w:val="clear" w:color="auto" w:fill="auto"/>
            <w:noWrap/>
            <w:vAlign w:val="bottom"/>
          </w:tcPr>
          <w:p>
            <w:pPr>
              <w:spacing w:after="0"/>
              <w:jc w:val="center"/>
              <w:rPr>
                <w:rFonts w:ascii="Calibri" w:hAnsi="Calibri" w:eastAsia="宋体" w:cs="Calibri"/>
                <w:color w:val="000000"/>
                <w:sz w:val="14"/>
                <w:szCs w:val="18"/>
              </w:rPr>
            </w:pPr>
            <w:r>
              <w:rPr>
                <w:rFonts w:ascii="Calibri" w:hAnsi="Calibri" w:eastAsia="宋体" w:cs="Calibri"/>
                <w:color w:val="000000"/>
                <w:sz w:val="14"/>
                <w:szCs w:val="18"/>
              </w:rPr>
              <w:t>4</w:t>
            </w:r>
          </w:p>
        </w:tc>
        <w:tc>
          <w:tcPr>
            <w:tcW w:w="622" w:type="dxa"/>
            <w:tcBorders>
              <w:top w:val="nil"/>
              <w:left w:val="nil"/>
              <w:bottom w:val="single" w:color="auto" w:sz="4" w:space="0"/>
              <w:right w:val="single" w:color="auto" w:sz="4" w:space="0"/>
            </w:tcBorders>
            <w:shd w:val="clear" w:color="auto" w:fill="auto"/>
            <w:noWrap/>
            <w:vAlign w:val="bottom"/>
          </w:tcPr>
          <w:p>
            <w:pPr>
              <w:spacing w:after="0"/>
              <w:jc w:val="center"/>
              <w:rPr>
                <w:rFonts w:ascii="Calibri" w:hAnsi="Calibri" w:eastAsia="宋体" w:cs="Calibri"/>
                <w:color w:val="000000"/>
                <w:sz w:val="14"/>
                <w:szCs w:val="18"/>
              </w:rPr>
            </w:pPr>
            <w:r>
              <w:rPr>
                <w:rFonts w:ascii="Calibri" w:hAnsi="Calibri" w:eastAsia="宋体" w:cs="Calibri"/>
                <w:color w:val="000000"/>
                <w:sz w:val="14"/>
                <w:szCs w:val="18"/>
              </w:rPr>
              <w:t>4</w:t>
            </w:r>
          </w:p>
        </w:tc>
        <w:tc>
          <w:tcPr>
            <w:tcW w:w="429" w:type="dxa"/>
            <w:tcBorders>
              <w:top w:val="nil"/>
              <w:left w:val="nil"/>
              <w:bottom w:val="single" w:color="auto" w:sz="4" w:space="0"/>
              <w:right w:val="single" w:color="auto" w:sz="4" w:space="0"/>
            </w:tcBorders>
            <w:shd w:val="clear" w:color="auto" w:fill="auto"/>
            <w:noWrap/>
            <w:vAlign w:val="bottom"/>
          </w:tcPr>
          <w:p>
            <w:pPr>
              <w:spacing w:after="0"/>
              <w:jc w:val="center"/>
              <w:rPr>
                <w:rFonts w:ascii="Calibri" w:hAnsi="Calibri" w:eastAsia="宋体" w:cs="Calibri"/>
                <w:color w:val="000000"/>
                <w:sz w:val="14"/>
                <w:szCs w:val="18"/>
              </w:rPr>
            </w:pPr>
            <w:r>
              <w:rPr>
                <w:rFonts w:ascii="Calibri" w:hAnsi="Calibri" w:eastAsia="宋体" w:cs="Calibri"/>
                <w:color w:val="000000"/>
                <w:sz w:val="14"/>
                <w:szCs w:val="18"/>
              </w:rPr>
              <w:t>4Rx</w:t>
            </w:r>
          </w:p>
        </w:tc>
        <w:tc>
          <w:tcPr>
            <w:tcW w:w="962" w:type="dxa"/>
            <w:vMerge w:val="restart"/>
            <w:tcBorders>
              <w:top w:val="nil"/>
              <w:left w:val="single" w:color="auto" w:sz="4" w:space="0"/>
              <w:right w:val="single" w:color="auto" w:sz="4" w:space="0"/>
            </w:tcBorders>
            <w:vAlign w:val="bottom"/>
          </w:tcPr>
          <w:p>
            <w:pPr>
              <w:spacing w:after="0"/>
              <w:jc w:val="center"/>
              <w:rPr>
                <w:rFonts w:ascii="Calibri" w:hAnsi="Calibri" w:eastAsia="宋体" w:cs="Calibri"/>
                <w:color w:val="000000"/>
                <w:sz w:val="14"/>
                <w:szCs w:val="18"/>
              </w:rPr>
            </w:pPr>
            <w:r>
              <w:rPr>
                <w:rFonts w:ascii="Calibri" w:hAnsi="Calibri" w:eastAsia="宋体" w:cs="Calibri"/>
                <w:color w:val="000000"/>
                <w:sz w:val="14"/>
                <w:szCs w:val="18"/>
              </w:rPr>
              <w:t>No limitation or ≤ X MHz</w:t>
            </w:r>
          </w:p>
        </w:tc>
        <w:tc>
          <w:tcPr>
            <w:tcW w:w="1030" w:type="dxa"/>
            <w:vMerge w:val="restart"/>
            <w:tcBorders>
              <w:top w:val="nil"/>
              <w:left w:val="single" w:color="auto" w:sz="4" w:space="0"/>
              <w:right w:val="single" w:color="auto" w:sz="4" w:space="0"/>
            </w:tcBorders>
          </w:tcPr>
          <w:p>
            <w:pPr>
              <w:spacing w:after="0"/>
              <w:jc w:val="center"/>
              <w:rPr>
                <w:rFonts w:ascii="Calibri" w:hAnsi="Calibri" w:eastAsia="Yu Mincho" w:cs="Calibri"/>
                <w:color w:val="000000"/>
                <w:sz w:val="14"/>
                <w:szCs w:val="18"/>
                <w:lang w:eastAsia="ja-JP"/>
              </w:rPr>
            </w:pPr>
            <w:r>
              <w:rPr>
                <w:rFonts w:hint="eastAsia" w:ascii="Calibri" w:hAnsi="Calibri" w:eastAsia="Yu Mincho" w:cs="Calibri"/>
                <w:color w:val="000000"/>
                <w:sz w:val="14"/>
                <w:szCs w:val="18"/>
                <w:lang w:eastAsia="ja-JP"/>
              </w:rPr>
              <w:t>E</w:t>
            </w:r>
            <w:r>
              <w:rPr>
                <w:rFonts w:ascii="Calibri" w:hAnsi="Calibri" w:eastAsia="Yu Mincho" w:cs="Calibri"/>
                <w:color w:val="000000"/>
                <w:sz w:val="14"/>
                <w:szCs w:val="18"/>
                <w:lang w:eastAsia="ja-JP"/>
              </w:rPr>
              <w:t>NDC</w:t>
            </w:r>
          </w:p>
        </w:tc>
        <w:tc>
          <w:tcPr>
            <w:tcW w:w="973" w:type="dxa"/>
            <w:vMerge w:val="restart"/>
            <w:tcBorders>
              <w:top w:val="nil"/>
              <w:left w:val="single" w:color="auto" w:sz="4" w:space="0"/>
              <w:bottom w:val="single" w:color="auto" w:sz="4" w:space="0"/>
              <w:right w:val="single" w:color="auto" w:sz="4" w:space="0"/>
            </w:tcBorders>
            <w:shd w:val="clear" w:color="auto" w:fill="auto"/>
            <w:noWrap/>
            <w:vAlign w:val="bottom"/>
          </w:tcPr>
          <w:p>
            <w:pPr>
              <w:spacing w:after="0"/>
              <w:jc w:val="center"/>
              <w:rPr>
                <w:rFonts w:ascii="Calibri" w:hAnsi="Calibri" w:eastAsia="宋体" w:cs="Calibri"/>
                <w:color w:val="000000"/>
                <w:sz w:val="14"/>
                <w:szCs w:val="18"/>
              </w:rPr>
            </w:pPr>
            <w:r>
              <w:rPr>
                <w:rFonts w:ascii="Calibri" w:hAnsi="Calibri" w:eastAsia="宋体" w:cs="Calibri"/>
                <w:color w:val="000000"/>
                <w:sz w:val="14"/>
                <w:szCs w:val="18"/>
              </w:rPr>
              <w:t>25dB</w:t>
            </w:r>
            <w:r>
              <w:rPr>
                <w:rFonts w:ascii="Calibri" w:hAnsi="Calibri" w:eastAsia="宋体" w:cs="Calibri"/>
                <w:color w:val="000000"/>
                <w:sz w:val="14"/>
                <w:szCs w:val="18"/>
              </w:rPr>
              <w:br w:type="textWrapping"/>
            </w:r>
            <w:r>
              <w:rPr>
                <w:rFonts w:ascii="Calibri" w:hAnsi="Calibri" w:eastAsia="宋体" w:cs="Calibri"/>
                <w:color w:val="000000"/>
                <w:sz w:val="14"/>
                <w:szCs w:val="18"/>
              </w:rPr>
              <w:t>full range</w:t>
            </w:r>
          </w:p>
        </w:tc>
        <w:tc>
          <w:tcPr>
            <w:tcW w:w="3320" w:type="dxa"/>
            <w:vMerge w:val="restart"/>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eastAsia="宋体" w:cs="Calibri"/>
                <w:color w:val="000000"/>
                <w:sz w:val="14"/>
                <w:szCs w:val="18"/>
              </w:rPr>
            </w:pPr>
            <w:r>
              <w:rPr>
                <w:rFonts w:ascii="Calibri" w:hAnsi="Calibri" w:eastAsia="宋体" w:cs="Calibri"/>
                <w:color w:val="000000"/>
                <w:sz w:val="14"/>
                <w:szCs w:val="18"/>
              </w:rPr>
              <w:t>Requires 6 antennas and LNA =&gt; is it compatible with smartphone? (for which frequency range), FWA only</w:t>
            </w:r>
          </w:p>
        </w:tc>
      </w:tr>
      <w:tr>
        <w:tblPrEx>
          <w:tblCellMar>
            <w:top w:w="0" w:type="dxa"/>
            <w:left w:w="108" w:type="dxa"/>
            <w:bottom w:w="0" w:type="dxa"/>
            <w:right w:w="108" w:type="dxa"/>
          </w:tblCellMar>
        </w:tblPrEx>
        <w:trPr>
          <w:trHeight w:val="70" w:hRule="atLeast"/>
          <w:jc w:val="center"/>
        </w:trPr>
        <w:tc>
          <w:tcPr>
            <w:tcW w:w="498" w:type="dxa"/>
            <w:vMerge w:val="continue"/>
            <w:tcBorders>
              <w:left w:val="single" w:color="auto" w:sz="4" w:space="0"/>
              <w:bottom w:val="single" w:color="auto" w:sz="4" w:space="0"/>
              <w:right w:val="single" w:color="auto" w:sz="4" w:space="0"/>
            </w:tcBorders>
            <w:shd w:val="clear" w:color="auto" w:fill="auto"/>
          </w:tcPr>
          <w:p>
            <w:pPr>
              <w:spacing w:after="0"/>
              <w:rPr>
                <w:rFonts w:ascii="Calibri" w:hAnsi="Calibri" w:eastAsia="宋体" w:cs="Calibri"/>
                <w:color w:val="000000"/>
                <w:sz w:val="14"/>
                <w:szCs w:val="18"/>
              </w:rPr>
            </w:pPr>
          </w:p>
        </w:tc>
        <w:tc>
          <w:tcPr>
            <w:tcW w:w="557" w:type="dxa"/>
            <w:tcBorders>
              <w:top w:val="nil"/>
              <w:left w:val="nil"/>
              <w:bottom w:val="single" w:color="auto" w:sz="4" w:space="0"/>
              <w:right w:val="single" w:color="auto" w:sz="4" w:space="0"/>
            </w:tcBorders>
            <w:shd w:val="clear" w:color="auto" w:fill="auto"/>
            <w:noWrap/>
            <w:vAlign w:val="bottom"/>
          </w:tcPr>
          <w:p>
            <w:pPr>
              <w:spacing w:after="0"/>
              <w:jc w:val="center"/>
              <w:rPr>
                <w:rFonts w:ascii="Calibri" w:hAnsi="Calibri" w:eastAsia="宋体" w:cs="Calibri"/>
                <w:color w:val="000000"/>
                <w:sz w:val="14"/>
                <w:szCs w:val="18"/>
              </w:rPr>
            </w:pPr>
            <w:r>
              <w:rPr>
                <w:rFonts w:ascii="Calibri" w:hAnsi="Calibri" w:eastAsia="宋体" w:cs="Calibri"/>
                <w:color w:val="000000"/>
                <w:sz w:val="14"/>
                <w:szCs w:val="18"/>
              </w:rPr>
              <w:t>2</w:t>
            </w:r>
          </w:p>
        </w:tc>
        <w:tc>
          <w:tcPr>
            <w:tcW w:w="411" w:type="dxa"/>
            <w:tcBorders>
              <w:top w:val="nil"/>
              <w:left w:val="nil"/>
              <w:bottom w:val="single" w:color="auto" w:sz="4" w:space="0"/>
              <w:right w:val="single" w:color="auto" w:sz="4" w:space="0"/>
            </w:tcBorders>
            <w:shd w:val="clear" w:color="auto" w:fill="auto"/>
            <w:noWrap/>
            <w:vAlign w:val="bottom"/>
          </w:tcPr>
          <w:p>
            <w:pPr>
              <w:spacing w:after="0"/>
              <w:jc w:val="center"/>
              <w:rPr>
                <w:rFonts w:ascii="Calibri" w:hAnsi="Calibri" w:eastAsia="宋体" w:cs="Calibri"/>
                <w:color w:val="000000"/>
                <w:sz w:val="14"/>
                <w:szCs w:val="18"/>
              </w:rPr>
            </w:pPr>
            <w:r>
              <w:rPr>
                <w:rFonts w:ascii="Calibri" w:hAnsi="Calibri" w:eastAsia="宋体" w:cs="Calibri"/>
                <w:color w:val="000000"/>
                <w:sz w:val="14"/>
                <w:szCs w:val="18"/>
              </w:rPr>
              <w:t>2</w:t>
            </w:r>
          </w:p>
        </w:tc>
        <w:tc>
          <w:tcPr>
            <w:tcW w:w="483" w:type="dxa"/>
            <w:vMerge w:val="continue"/>
            <w:tcBorders>
              <w:left w:val="nil"/>
              <w:bottom w:val="single" w:color="auto" w:sz="4" w:space="0"/>
              <w:right w:val="single" w:color="auto" w:sz="4" w:space="0"/>
            </w:tcBorders>
            <w:shd w:val="clear" w:color="auto" w:fill="auto"/>
            <w:vAlign w:val="bottom"/>
          </w:tcPr>
          <w:p>
            <w:pPr>
              <w:spacing w:after="0"/>
              <w:jc w:val="center"/>
              <w:rPr>
                <w:rFonts w:ascii="Calibri" w:hAnsi="Calibri" w:eastAsia="宋体" w:cs="Calibri"/>
                <w:color w:val="000000"/>
                <w:sz w:val="14"/>
                <w:szCs w:val="18"/>
              </w:rPr>
            </w:pPr>
          </w:p>
        </w:tc>
        <w:tc>
          <w:tcPr>
            <w:tcW w:w="604" w:type="dxa"/>
            <w:tcBorders>
              <w:top w:val="nil"/>
              <w:left w:val="nil"/>
              <w:bottom w:val="single" w:color="auto" w:sz="4" w:space="0"/>
              <w:right w:val="single" w:color="auto" w:sz="4" w:space="0"/>
            </w:tcBorders>
            <w:shd w:val="clear" w:color="auto" w:fill="auto"/>
            <w:noWrap/>
            <w:vAlign w:val="bottom"/>
          </w:tcPr>
          <w:p>
            <w:pPr>
              <w:spacing w:after="0"/>
              <w:jc w:val="center"/>
              <w:rPr>
                <w:rFonts w:ascii="Calibri" w:hAnsi="Calibri" w:eastAsia="宋体" w:cs="Calibri"/>
                <w:color w:val="000000"/>
                <w:sz w:val="14"/>
                <w:szCs w:val="18"/>
              </w:rPr>
            </w:pPr>
            <w:r>
              <w:rPr>
                <w:rFonts w:ascii="Calibri" w:hAnsi="Calibri" w:eastAsia="宋体" w:cs="Calibri"/>
                <w:color w:val="000000"/>
                <w:sz w:val="14"/>
                <w:szCs w:val="18"/>
              </w:rPr>
              <w:t>2</w:t>
            </w:r>
          </w:p>
        </w:tc>
        <w:tc>
          <w:tcPr>
            <w:tcW w:w="622" w:type="dxa"/>
            <w:tcBorders>
              <w:top w:val="nil"/>
              <w:left w:val="nil"/>
              <w:bottom w:val="single" w:color="auto" w:sz="4" w:space="0"/>
              <w:right w:val="single" w:color="auto" w:sz="4" w:space="0"/>
            </w:tcBorders>
            <w:shd w:val="clear" w:color="auto" w:fill="auto"/>
            <w:noWrap/>
            <w:vAlign w:val="bottom"/>
          </w:tcPr>
          <w:p>
            <w:pPr>
              <w:spacing w:after="0"/>
              <w:jc w:val="center"/>
              <w:rPr>
                <w:rFonts w:ascii="Calibri" w:hAnsi="Calibri" w:eastAsia="宋体" w:cs="Calibri"/>
                <w:color w:val="000000"/>
                <w:sz w:val="14"/>
                <w:szCs w:val="18"/>
              </w:rPr>
            </w:pPr>
            <w:r>
              <w:rPr>
                <w:rFonts w:ascii="Calibri" w:hAnsi="Calibri" w:eastAsia="宋体" w:cs="Calibri"/>
                <w:color w:val="000000"/>
                <w:sz w:val="14"/>
                <w:szCs w:val="18"/>
              </w:rPr>
              <w:t>2</w:t>
            </w:r>
          </w:p>
        </w:tc>
        <w:tc>
          <w:tcPr>
            <w:tcW w:w="429" w:type="dxa"/>
            <w:tcBorders>
              <w:top w:val="nil"/>
              <w:left w:val="nil"/>
              <w:bottom w:val="single" w:color="auto" w:sz="4" w:space="0"/>
              <w:right w:val="single" w:color="auto" w:sz="4" w:space="0"/>
            </w:tcBorders>
            <w:shd w:val="clear" w:color="auto" w:fill="auto"/>
            <w:noWrap/>
            <w:vAlign w:val="bottom"/>
          </w:tcPr>
          <w:p>
            <w:pPr>
              <w:spacing w:after="0"/>
              <w:jc w:val="center"/>
              <w:rPr>
                <w:rFonts w:ascii="Calibri" w:hAnsi="Calibri" w:eastAsia="宋体" w:cs="Calibri"/>
                <w:color w:val="000000"/>
                <w:sz w:val="14"/>
                <w:szCs w:val="18"/>
              </w:rPr>
            </w:pPr>
            <w:r>
              <w:rPr>
                <w:rFonts w:ascii="Calibri" w:hAnsi="Calibri" w:eastAsia="宋体" w:cs="Calibri"/>
                <w:color w:val="000000"/>
                <w:sz w:val="14"/>
                <w:szCs w:val="18"/>
              </w:rPr>
              <w:t>2Rx</w:t>
            </w:r>
          </w:p>
        </w:tc>
        <w:tc>
          <w:tcPr>
            <w:tcW w:w="962" w:type="dxa"/>
            <w:vMerge w:val="continue"/>
            <w:tcBorders>
              <w:left w:val="single" w:color="auto" w:sz="4" w:space="0"/>
              <w:bottom w:val="single" w:color="auto" w:sz="4" w:space="0"/>
              <w:right w:val="single" w:color="auto" w:sz="4" w:space="0"/>
            </w:tcBorders>
            <w:vAlign w:val="center"/>
          </w:tcPr>
          <w:p>
            <w:pPr>
              <w:spacing w:after="0"/>
              <w:rPr>
                <w:rFonts w:ascii="Calibri" w:hAnsi="Calibri" w:eastAsia="宋体" w:cs="Calibri"/>
                <w:color w:val="000000"/>
                <w:sz w:val="14"/>
                <w:szCs w:val="18"/>
              </w:rPr>
            </w:pPr>
          </w:p>
        </w:tc>
        <w:tc>
          <w:tcPr>
            <w:tcW w:w="1030" w:type="dxa"/>
            <w:vMerge w:val="continue"/>
            <w:tcBorders>
              <w:left w:val="single" w:color="auto" w:sz="4" w:space="0"/>
              <w:bottom w:val="single" w:color="auto" w:sz="4" w:space="0"/>
              <w:right w:val="single" w:color="auto" w:sz="4" w:space="0"/>
            </w:tcBorders>
          </w:tcPr>
          <w:p>
            <w:pPr>
              <w:spacing w:after="0"/>
              <w:jc w:val="center"/>
              <w:rPr>
                <w:rFonts w:ascii="Calibri" w:hAnsi="Calibri" w:eastAsia="宋体" w:cs="Calibri"/>
                <w:color w:val="000000"/>
                <w:sz w:val="14"/>
                <w:szCs w:val="18"/>
              </w:rPr>
            </w:pPr>
          </w:p>
        </w:tc>
        <w:tc>
          <w:tcPr>
            <w:tcW w:w="973" w:type="dxa"/>
            <w:vMerge w:val="continue"/>
            <w:tcBorders>
              <w:top w:val="nil"/>
              <w:left w:val="single" w:color="auto" w:sz="4" w:space="0"/>
              <w:bottom w:val="single" w:color="auto" w:sz="4" w:space="0"/>
              <w:right w:val="single" w:color="auto" w:sz="4" w:space="0"/>
            </w:tcBorders>
            <w:vAlign w:val="center"/>
          </w:tcPr>
          <w:p>
            <w:pPr>
              <w:spacing w:after="0"/>
              <w:rPr>
                <w:rFonts w:ascii="Calibri" w:hAnsi="Calibri" w:eastAsia="宋体" w:cs="Calibri"/>
                <w:color w:val="000000"/>
                <w:sz w:val="14"/>
                <w:szCs w:val="18"/>
              </w:rPr>
            </w:pPr>
          </w:p>
        </w:tc>
        <w:tc>
          <w:tcPr>
            <w:tcW w:w="3320" w:type="dxa"/>
            <w:vMerge w:val="continue"/>
            <w:tcBorders>
              <w:top w:val="nil"/>
              <w:left w:val="single" w:color="auto" w:sz="4" w:space="0"/>
              <w:bottom w:val="single" w:color="auto" w:sz="4" w:space="0"/>
              <w:right w:val="single" w:color="auto" w:sz="4" w:space="0"/>
            </w:tcBorders>
            <w:vAlign w:val="center"/>
          </w:tcPr>
          <w:p>
            <w:pPr>
              <w:spacing w:after="0"/>
              <w:rPr>
                <w:rFonts w:ascii="Calibri" w:hAnsi="Calibri" w:eastAsia="宋体" w:cs="Calibri"/>
                <w:color w:val="000000"/>
                <w:sz w:val="14"/>
                <w:szCs w:val="18"/>
              </w:rPr>
            </w:pPr>
          </w:p>
        </w:tc>
      </w:tr>
      <w:tr>
        <w:tblPrEx>
          <w:tblCellMar>
            <w:top w:w="0" w:type="dxa"/>
            <w:left w:w="108" w:type="dxa"/>
            <w:bottom w:w="0" w:type="dxa"/>
            <w:right w:w="108" w:type="dxa"/>
          </w:tblCellMar>
        </w:tblPrEx>
        <w:trPr>
          <w:trHeight w:val="70" w:hRule="atLeast"/>
          <w:jc w:val="center"/>
        </w:trPr>
        <w:tc>
          <w:tcPr>
            <w:tcW w:w="498" w:type="dxa"/>
            <w:vMerge w:val="restart"/>
            <w:tcBorders>
              <w:top w:val="nil"/>
              <w:left w:val="single" w:color="auto" w:sz="4" w:space="0"/>
              <w:right w:val="single" w:color="auto" w:sz="4" w:space="0"/>
            </w:tcBorders>
            <w:shd w:val="clear" w:color="auto" w:fill="auto"/>
          </w:tcPr>
          <w:p>
            <w:pPr>
              <w:spacing w:after="0"/>
              <w:jc w:val="center"/>
              <w:rPr>
                <w:rFonts w:ascii="Calibri" w:hAnsi="Calibri" w:eastAsia="宋体" w:cs="Calibri"/>
                <w:b/>
                <w:bCs/>
                <w:color w:val="000000"/>
                <w:sz w:val="14"/>
                <w:szCs w:val="18"/>
              </w:rPr>
            </w:pPr>
            <w:r>
              <w:rPr>
                <w:rFonts w:ascii="Calibri" w:hAnsi="Calibri" w:eastAsia="宋体" w:cs="Calibri"/>
                <w:b/>
                <w:bCs/>
                <w:color w:val="000000"/>
                <w:sz w:val="14"/>
                <w:szCs w:val="18"/>
              </w:rPr>
              <w:t>4b</w:t>
            </w:r>
          </w:p>
        </w:tc>
        <w:tc>
          <w:tcPr>
            <w:tcW w:w="557" w:type="dxa"/>
            <w:tcBorders>
              <w:top w:val="nil"/>
              <w:left w:val="nil"/>
              <w:bottom w:val="single" w:color="auto" w:sz="4" w:space="0"/>
              <w:right w:val="single" w:color="auto" w:sz="4" w:space="0"/>
            </w:tcBorders>
            <w:shd w:val="clear" w:color="auto" w:fill="auto"/>
            <w:noWrap/>
            <w:vAlign w:val="bottom"/>
          </w:tcPr>
          <w:p>
            <w:pPr>
              <w:spacing w:after="0"/>
              <w:jc w:val="center"/>
              <w:rPr>
                <w:rFonts w:ascii="Calibri" w:hAnsi="Calibri" w:eastAsia="宋体" w:cs="Calibri"/>
                <w:color w:val="000000"/>
                <w:sz w:val="14"/>
                <w:szCs w:val="18"/>
              </w:rPr>
            </w:pPr>
            <w:r>
              <w:rPr>
                <w:rFonts w:ascii="Calibri" w:hAnsi="Calibri" w:eastAsia="宋体" w:cs="Calibri"/>
                <w:color w:val="000000"/>
                <w:sz w:val="14"/>
                <w:szCs w:val="18"/>
              </w:rPr>
              <w:t>1</w:t>
            </w:r>
          </w:p>
        </w:tc>
        <w:tc>
          <w:tcPr>
            <w:tcW w:w="411" w:type="dxa"/>
            <w:tcBorders>
              <w:top w:val="nil"/>
              <w:left w:val="nil"/>
              <w:bottom w:val="single" w:color="auto" w:sz="4" w:space="0"/>
              <w:right w:val="single" w:color="auto" w:sz="4" w:space="0"/>
            </w:tcBorders>
            <w:shd w:val="clear" w:color="auto" w:fill="auto"/>
            <w:noWrap/>
            <w:vAlign w:val="bottom"/>
          </w:tcPr>
          <w:p>
            <w:pPr>
              <w:spacing w:after="0"/>
              <w:jc w:val="center"/>
              <w:rPr>
                <w:rFonts w:ascii="Calibri" w:hAnsi="Calibri" w:eastAsia="宋体" w:cs="Calibri"/>
                <w:color w:val="000000"/>
                <w:sz w:val="14"/>
                <w:szCs w:val="18"/>
              </w:rPr>
            </w:pPr>
            <w:r>
              <w:rPr>
                <w:rFonts w:ascii="Calibri" w:hAnsi="Calibri" w:eastAsia="宋体" w:cs="Calibri"/>
                <w:color w:val="000000"/>
                <w:sz w:val="14"/>
                <w:szCs w:val="18"/>
              </w:rPr>
              <w:t>4</w:t>
            </w:r>
          </w:p>
        </w:tc>
        <w:tc>
          <w:tcPr>
            <w:tcW w:w="483" w:type="dxa"/>
            <w:vMerge w:val="restart"/>
            <w:tcBorders>
              <w:top w:val="nil"/>
              <w:left w:val="nil"/>
              <w:right w:val="single" w:color="auto" w:sz="4" w:space="0"/>
            </w:tcBorders>
            <w:shd w:val="clear" w:color="auto" w:fill="auto"/>
            <w:vAlign w:val="bottom"/>
          </w:tcPr>
          <w:p>
            <w:pPr>
              <w:spacing w:after="0"/>
              <w:jc w:val="center"/>
              <w:rPr>
                <w:rFonts w:ascii="Calibri" w:hAnsi="Calibri" w:eastAsia="Yu Mincho" w:cs="Calibri"/>
                <w:color w:val="000000"/>
                <w:sz w:val="14"/>
                <w:szCs w:val="18"/>
                <w:lang w:eastAsia="ja-JP"/>
              </w:rPr>
            </w:pPr>
            <w:r>
              <w:rPr>
                <w:rFonts w:hint="eastAsia" w:ascii="Calibri" w:hAnsi="Calibri" w:eastAsia="Yu Mincho" w:cs="Calibri"/>
                <w:color w:val="000000"/>
                <w:sz w:val="14"/>
                <w:szCs w:val="18"/>
                <w:lang w:eastAsia="ja-JP"/>
              </w:rPr>
              <w:t>8</w:t>
            </w:r>
          </w:p>
          <w:p>
            <w:pPr>
              <w:spacing w:after="0"/>
              <w:jc w:val="center"/>
              <w:rPr>
                <w:rFonts w:ascii="Calibri" w:hAnsi="Calibri" w:eastAsia="Yu Mincho" w:cs="Calibri"/>
                <w:color w:val="000000"/>
                <w:sz w:val="14"/>
                <w:szCs w:val="18"/>
                <w:lang w:eastAsia="ja-JP"/>
              </w:rPr>
            </w:pPr>
            <w:r>
              <w:rPr>
                <w:rFonts w:ascii="Calibri" w:hAnsi="Calibri" w:eastAsia="Yu Mincho" w:cs="Calibri"/>
                <w:color w:val="000000"/>
                <w:sz w:val="14"/>
                <w:szCs w:val="18"/>
                <w:lang w:eastAsia="ja-JP"/>
              </w:rPr>
              <w:t>total</w:t>
            </w:r>
          </w:p>
        </w:tc>
        <w:tc>
          <w:tcPr>
            <w:tcW w:w="604" w:type="dxa"/>
            <w:tcBorders>
              <w:top w:val="nil"/>
              <w:left w:val="nil"/>
              <w:bottom w:val="single" w:color="auto" w:sz="4" w:space="0"/>
              <w:right w:val="single" w:color="auto" w:sz="4" w:space="0"/>
            </w:tcBorders>
            <w:shd w:val="clear" w:color="auto" w:fill="auto"/>
            <w:noWrap/>
            <w:vAlign w:val="bottom"/>
          </w:tcPr>
          <w:p>
            <w:pPr>
              <w:spacing w:after="0"/>
              <w:jc w:val="center"/>
              <w:rPr>
                <w:rFonts w:ascii="Calibri" w:hAnsi="Calibri" w:eastAsia="宋体" w:cs="Calibri"/>
                <w:color w:val="000000"/>
                <w:sz w:val="14"/>
                <w:szCs w:val="18"/>
              </w:rPr>
            </w:pPr>
            <w:r>
              <w:rPr>
                <w:rFonts w:ascii="Calibri" w:hAnsi="Calibri" w:eastAsia="宋体" w:cs="Calibri"/>
                <w:color w:val="000000"/>
                <w:sz w:val="14"/>
                <w:szCs w:val="18"/>
              </w:rPr>
              <w:t>4</w:t>
            </w:r>
          </w:p>
        </w:tc>
        <w:tc>
          <w:tcPr>
            <w:tcW w:w="622" w:type="dxa"/>
            <w:tcBorders>
              <w:top w:val="nil"/>
              <w:left w:val="nil"/>
              <w:bottom w:val="single" w:color="auto" w:sz="4" w:space="0"/>
              <w:right w:val="single" w:color="auto" w:sz="4" w:space="0"/>
            </w:tcBorders>
            <w:shd w:val="clear" w:color="auto" w:fill="auto"/>
            <w:noWrap/>
            <w:vAlign w:val="bottom"/>
          </w:tcPr>
          <w:p>
            <w:pPr>
              <w:spacing w:after="0"/>
              <w:jc w:val="center"/>
              <w:rPr>
                <w:rFonts w:ascii="Calibri" w:hAnsi="Calibri" w:eastAsia="宋体" w:cs="Calibri"/>
                <w:color w:val="000000"/>
                <w:sz w:val="14"/>
                <w:szCs w:val="18"/>
              </w:rPr>
            </w:pPr>
            <w:r>
              <w:rPr>
                <w:rFonts w:ascii="Calibri" w:hAnsi="Calibri" w:eastAsia="宋体" w:cs="Calibri"/>
                <w:color w:val="000000"/>
                <w:sz w:val="14"/>
                <w:szCs w:val="18"/>
              </w:rPr>
              <w:t>4</w:t>
            </w:r>
          </w:p>
        </w:tc>
        <w:tc>
          <w:tcPr>
            <w:tcW w:w="429" w:type="dxa"/>
            <w:tcBorders>
              <w:top w:val="nil"/>
              <w:left w:val="nil"/>
              <w:bottom w:val="single" w:color="auto" w:sz="4" w:space="0"/>
              <w:right w:val="single" w:color="auto" w:sz="4" w:space="0"/>
            </w:tcBorders>
            <w:shd w:val="clear" w:color="auto" w:fill="auto"/>
            <w:noWrap/>
            <w:vAlign w:val="bottom"/>
          </w:tcPr>
          <w:p>
            <w:pPr>
              <w:spacing w:after="0"/>
              <w:jc w:val="center"/>
              <w:rPr>
                <w:rFonts w:ascii="Calibri" w:hAnsi="Calibri" w:eastAsia="宋体" w:cs="Calibri"/>
                <w:color w:val="000000"/>
                <w:sz w:val="14"/>
                <w:szCs w:val="18"/>
              </w:rPr>
            </w:pPr>
            <w:r>
              <w:rPr>
                <w:rFonts w:ascii="Calibri" w:hAnsi="Calibri" w:eastAsia="宋体" w:cs="Calibri"/>
                <w:color w:val="000000"/>
                <w:sz w:val="14"/>
                <w:szCs w:val="18"/>
              </w:rPr>
              <w:t>4Rx</w:t>
            </w:r>
          </w:p>
        </w:tc>
        <w:tc>
          <w:tcPr>
            <w:tcW w:w="962" w:type="dxa"/>
            <w:vMerge w:val="restart"/>
            <w:tcBorders>
              <w:top w:val="nil"/>
              <w:left w:val="single" w:color="auto" w:sz="4" w:space="0"/>
              <w:right w:val="single" w:color="auto" w:sz="4" w:space="0"/>
            </w:tcBorders>
            <w:vAlign w:val="bottom"/>
          </w:tcPr>
          <w:p>
            <w:pPr>
              <w:spacing w:after="0"/>
              <w:jc w:val="center"/>
              <w:rPr>
                <w:rFonts w:ascii="Calibri" w:hAnsi="Calibri" w:eastAsia="宋体" w:cs="Calibri"/>
                <w:color w:val="000000"/>
                <w:sz w:val="14"/>
                <w:szCs w:val="18"/>
              </w:rPr>
            </w:pPr>
            <w:r>
              <w:rPr>
                <w:rFonts w:ascii="Calibri" w:hAnsi="Calibri" w:eastAsia="宋体" w:cs="Calibri"/>
                <w:color w:val="000000"/>
                <w:sz w:val="14"/>
                <w:szCs w:val="18"/>
              </w:rPr>
              <w:t>No limitation or ≤ X MHz</w:t>
            </w:r>
          </w:p>
        </w:tc>
        <w:tc>
          <w:tcPr>
            <w:tcW w:w="1030" w:type="dxa"/>
            <w:vMerge w:val="restart"/>
            <w:tcBorders>
              <w:top w:val="nil"/>
              <w:left w:val="single" w:color="auto" w:sz="4" w:space="0"/>
              <w:right w:val="single" w:color="auto" w:sz="4" w:space="0"/>
            </w:tcBorders>
          </w:tcPr>
          <w:p>
            <w:pPr>
              <w:spacing w:after="0"/>
              <w:jc w:val="center"/>
              <w:rPr>
                <w:rFonts w:ascii="Calibri" w:hAnsi="Calibri" w:eastAsia="宋体" w:cs="Calibri"/>
                <w:color w:val="000000"/>
                <w:sz w:val="14"/>
                <w:szCs w:val="18"/>
              </w:rPr>
            </w:pPr>
            <w:r>
              <w:rPr>
                <w:rFonts w:hint="eastAsia" w:ascii="Calibri" w:hAnsi="Calibri" w:eastAsia="Yu Mincho" w:cs="Calibri"/>
                <w:color w:val="000000"/>
                <w:sz w:val="14"/>
                <w:szCs w:val="18"/>
                <w:lang w:eastAsia="ja-JP"/>
              </w:rPr>
              <w:t>N</w:t>
            </w:r>
            <w:r>
              <w:rPr>
                <w:rFonts w:ascii="Calibri" w:hAnsi="Calibri" w:eastAsia="Yu Mincho" w:cs="Calibri"/>
                <w:color w:val="000000"/>
                <w:sz w:val="14"/>
                <w:szCs w:val="18"/>
                <w:lang w:eastAsia="ja-JP"/>
              </w:rPr>
              <w:t>RCA,</w:t>
            </w:r>
            <w:r>
              <w:rPr>
                <w:rFonts w:hint="eastAsia" w:ascii="Calibri" w:hAnsi="Calibri" w:eastAsia="Yu Mincho" w:cs="Calibri"/>
                <w:color w:val="000000"/>
                <w:sz w:val="14"/>
                <w:szCs w:val="18"/>
                <w:lang w:eastAsia="ja-JP"/>
              </w:rPr>
              <w:t>E</w:t>
            </w:r>
            <w:r>
              <w:rPr>
                <w:rFonts w:ascii="Calibri" w:hAnsi="Calibri" w:eastAsia="Yu Mincho" w:cs="Calibri"/>
                <w:color w:val="000000"/>
                <w:sz w:val="14"/>
                <w:szCs w:val="18"/>
                <w:lang w:eastAsia="ja-JP"/>
              </w:rPr>
              <w:t>NDC</w:t>
            </w:r>
          </w:p>
        </w:tc>
        <w:tc>
          <w:tcPr>
            <w:tcW w:w="973" w:type="dxa"/>
            <w:vMerge w:val="restart"/>
            <w:tcBorders>
              <w:top w:val="nil"/>
              <w:left w:val="single" w:color="auto" w:sz="4" w:space="0"/>
              <w:bottom w:val="single" w:color="auto" w:sz="4" w:space="0"/>
              <w:right w:val="single" w:color="auto" w:sz="4" w:space="0"/>
            </w:tcBorders>
            <w:shd w:val="clear" w:color="auto" w:fill="auto"/>
            <w:noWrap/>
            <w:vAlign w:val="bottom"/>
          </w:tcPr>
          <w:p>
            <w:pPr>
              <w:spacing w:after="0"/>
              <w:jc w:val="center"/>
              <w:rPr>
                <w:rFonts w:ascii="Calibri" w:hAnsi="Calibri" w:eastAsia="宋体" w:cs="Calibri"/>
                <w:color w:val="000000"/>
                <w:sz w:val="14"/>
                <w:szCs w:val="18"/>
              </w:rPr>
            </w:pPr>
            <w:r>
              <w:rPr>
                <w:rFonts w:ascii="Calibri" w:hAnsi="Calibri" w:eastAsia="宋体" w:cs="Calibri"/>
                <w:color w:val="000000"/>
                <w:sz w:val="14"/>
                <w:szCs w:val="18"/>
              </w:rPr>
              <w:t>25dB</w:t>
            </w:r>
            <w:r>
              <w:rPr>
                <w:rFonts w:ascii="Calibri" w:hAnsi="Calibri" w:eastAsia="宋体" w:cs="Calibri"/>
                <w:color w:val="000000"/>
                <w:sz w:val="14"/>
                <w:szCs w:val="18"/>
              </w:rPr>
              <w:br w:type="textWrapping"/>
            </w:r>
            <w:r>
              <w:rPr>
                <w:rFonts w:ascii="Calibri" w:hAnsi="Calibri" w:eastAsia="宋体" w:cs="Calibri"/>
                <w:color w:val="000000"/>
                <w:sz w:val="14"/>
                <w:szCs w:val="18"/>
              </w:rPr>
              <w:t>full range</w:t>
            </w:r>
          </w:p>
        </w:tc>
        <w:tc>
          <w:tcPr>
            <w:tcW w:w="3320" w:type="dxa"/>
            <w:vMerge w:val="restart"/>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eastAsia="宋体" w:cs="Calibri"/>
                <w:color w:val="000000"/>
                <w:sz w:val="14"/>
                <w:szCs w:val="18"/>
              </w:rPr>
            </w:pPr>
            <w:r>
              <w:rPr>
                <w:rFonts w:ascii="Calibri" w:hAnsi="Calibri" w:eastAsia="宋体" w:cs="Calibri"/>
                <w:color w:val="000000"/>
                <w:sz w:val="14"/>
                <w:szCs w:val="18"/>
              </w:rPr>
              <w:t>Requires 8 antennas and LNA =&gt; is it compatible with smartphone? (for which frequency range), FWA only</w:t>
            </w:r>
          </w:p>
        </w:tc>
      </w:tr>
      <w:tr>
        <w:tblPrEx>
          <w:tblCellMar>
            <w:top w:w="0" w:type="dxa"/>
            <w:left w:w="108" w:type="dxa"/>
            <w:bottom w:w="0" w:type="dxa"/>
            <w:right w:w="108" w:type="dxa"/>
          </w:tblCellMar>
        </w:tblPrEx>
        <w:trPr>
          <w:trHeight w:val="70" w:hRule="atLeast"/>
          <w:jc w:val="center"/>
        </w:trPr>
        <w:tc>
          <w:tcPr>
            <w:tcW w:w="498" w:type="dxa"/>
            <w:vMerge w:val="continue"/>
            <w:tcBorders>
              <w:left w:val="single" w:color="auto" w:sz="4" w:space="0"/>
              <w:bottom w:val="single" w:color="auto" w:sz="4" w:space="0"/>
              <w:right w:val="single" w:color="auto" w:sz="4" w:space="0"/>
            </w:tcBorders>
            <w:shd w:val="clear" w:color="auto" w:fill="auto"/>
          </w:tcPr>
          <w:p>
            <w:pPr>
              <w:spacing w:after="0"/>
              <w:rPr>
                <w:rFonts w:ascii="Calibri" w:hAnsi="Calibri" w:eastAsia="宋体" w:cs="Calibri"/>
                <w:color w:val="000000"/>
                <w:sz w:val="14"/>
                <w:szCs w:val="18"/>
              </w:rPr>
            </w:pPr>
          </w:p>
        </w:tc>
        <w:tc>
          <w:tcPr>
            <w:tcW w:w="557" w:type="dxa"/>
            <w:tcBorders>
              <w:top w:val="nil"/>
              <w:left w:val="nil"/>
              <w:bottom w:val="single" w:color="auto" w:sz="4" w:space="0"/>
              <w:right w:val="single" w:color="auto" w:sz="4" w:space="0"/>
            </w:tcBorders>
            <w:shd w:val="clear" w:color="auto" w:fill="auto"/>
            <w:noWrap/>
            <w:vAlign w:val="bottom"/>
          </w:tcPr>
          <w:p>
            <w:pPr>
              <w:spacing w:after="0"/>
              <w:jc w:val="center"/>
              <w:rPr>
                <w:rFonts w:ascii="Calibri" w:hAnsi="Calibri" w:eastAsia="宋体" w:cs="Calibri"/>
                <w:color w:val="000000"/>
                <w:sz w:val="14"/>
                <w:szCs w:val="18"/>
              </w:rPr>
            </w:pPr>
            <w:r>
              <w:rPr>
                <w:rFonts w:ascii="Calibri" w:hAnsi="Calibri" w:eastAsia="宋体" w:cs="Calibri"/>
                <w:color w:val="000000"/>
                <w:sz w:val="14"/>
                <w:szCs w:val="18"/>
              </w:rPr>
              <w:t>2</w:t>
            </w:r>
          </w:p>
        </w:tc>
        <w:tc>
          <w:tcPr>
            <w:tcW w:w="411" w:type="dxa"/>
            <w:tcBorders>
              <w:top w:val="nil"/>
              <w:left w:val="nil"/>
              <w:bottom w:val="single" w:color="auto" w:sz="4" w:space="0"/>
              <w:right w:val="single" w:color="auto" w:sz="4" w:space="0"/>
            </w:tcBorders>
            <w:shd w:val="clear" w:color="auto" w:fill="auto"/>
            <w:noWrap/>
            <w:vAlign w:val="bottom"/>
          </w:tcPr>
          <w:p>
            <w:pPr>
              <w:spacing w:after="0"/>
              <w:jc w:val="center"/>
              <w:rPr>
                <w:rFonts w:ascii="Calibri" w:hAnsi="Calibri" w:eastAsia="宋体" w:cs="Calibri"/>
                <w:color w:val="000000"/>
                <w:sz w:val="14"/>
                <w:szCs w:val="18"/>
              </w:rPr>
            </w:pPr>
            <w:r>
              <w:rPr>
                <w:rFonts w:ascii="Calibri" w:hAnsi="Calibri" w:eastAsia="宋体" w:cs="Calibri"/>
                <w:color w:val="000000"/>
                <w:sz w:val="14"/>
                <w:szCs w:val="18"/>
              </w:rPr>
              <w:t>4</w:t>
            </w:r>
          </w:p>
        </w:tc>
        <w:tc>
          <w:tcPr>
            <w:tcW w:w="483" w:type="dxa"/>
            <w:vMerge w:val="continue"/>
            <w:tcBorders>
              <w:left w:val="nil"/>
              <w:bottom w:val="single" w:color="auto" w:sz="4" w:space="0"/>
              <w:right w:val="single" w:color="auto" w:sz="4" w:space="0"/>
            </w:tcBorders>
            <w:shd w:val="clear" w:color="auto" w:fill="auto"/>
            <w:vAlign w:val="bottom"/>
          </w:tcPr>
          <w:p>
            <w:pPr>
              <w:spacing w:after="0"/>
              <w:jc w:val="center"/>
              <w:rPr>
                <w:rFonts w:ascii="Calibri" w:hAnsi="Calibri" w:eastAsia="宋体" w:cs="Calibri"/>
                <w:color w:val="000000"/>
                <w:sz w:val="14"/>
                <w:szCs w:val="18"/>
              </w:rPr>
            </w:pPr>
          </w:p>
        </w:tc>
        <w:tc>
          <w:tcPr>
            <w:tcW w:w="604" w:type="dxa"/>
            <w:tcBorders>
              <w:top w:val="nil"/>
              <w:left w:val="nil"/>
              <w:bottom w:val="single" w:color="auto" w:sz="4" w:space="0"/>
              <w:right w:val="single" w:color="auto" w:sz="4" w:space="0"/>
            </w:tcBorders>
            <w:shd w:val="clear" w:color="auto" w:fill="auto"/>
            <w:noWrap/>
            <w:vAlign w:val="bottom"/>
          </w:tcPr>
          <w:p>
            <w:pPr>
              <w:spacing w:after="0"/>
              <w:jc w:val="center"/>
              <w:rPr>
                <w:rFonts w:ascii="Calibri" w:hAnsi="Calibri" w:eastAsia="宋体" w:cs="Calibri"/>
                <w:color w:val="000000"/>
                <w:sz w:val="14"/>
                <w:szCs w:val="18"/>
              </w:rPr>
            </w:pPr>
            <w:r>
              <w:rPr>
                <w:rFonts w:ascii="Calibri" w:hAnsi="Calibri" w:eastAsia="宋体" w:cs="Calibri"/>
                <w:color w:val="000000"/>
                <w:sz w:val="14"/>
                <w:szCs w:val="18"/>
              </w:rPr>
              <w:t>4</w:t>
            </w:r>
          </w:p>
        </w:tc>
        <w:tc>
          <w:tcPr>
            <w:tcW w:w="622" w:type="dxa"/>
            <w:tcBorders>
              <w:top w:val="nil"/>
              <w:left w:val="nil"/>
              <w:bottom w:val="single" w:color="auto" w:sz="4" w:space="0"/>
              <w:right w:val="single" w:color="auto" w:sz="4" w:space="0"/>
            </w:tcBorders>
            <w:shd w:val="clear" w:color="auto" w:fill="auto"/>
            <w:noWrap/>
            <w:vAlign w:val="bottom"/>
          </w:tcPr>
          <w:p>
            <w:pPr>
              <w:spacing w:after="0"/>
              <w:jc w:val="center"/>
              <w:rPr>
                <w:rFonts w:ascii="Calibri" w:hAnsi="Calibri" w:eastAsia="宋体" w:cs="Calibri"/>
                <w:color w:val="000000"/>
                <w:sz w:val="14"/>
                <w:szCs w:val="18"/>
              </w:rPr>
            </w:pPr>
            <w:r>
              <w:rPr>
                <w:rFonts w:ascii="Calibri" w:hAnsi="Calibri" w:eastAsia="宋体" w:cs="Calibri"/>
                <w:color w:val="000000"/>
                <w:sz w:val="14"/>
                <w:szCs w:val="18"/>
              </w:rPr>
              <w:t>4</w:t>
            </w:r>
          </w:p>
        </w:tc>
        <w:tc>
          <w:tcPr>
            <w:tcW w:w="429" w:type="dxa"/>
            <w:tcBorders>
              <w:top w:val="nil"/>
              <w:left w:val="nil"/>
              <w:bottom w:val="single" w:color="auto" w:sz="4" w:space="0"/>
              <w:right w:val="single" w:color="auto" w:sz="4" w:space="0"/>
            </w:tcBorders>
            <w:shd w:val="clear" w:color="auto" w:fill="auto"/>
            <w:noWrap/>
            <w:vAlign w:val="bottom"/>
          </w:tcPr>
          <w:p>
            <w:pPr>
              <w:spacing w:after="0"/>
              <w:jc w:val="center"/>
              <w:rPr>
                <w:rFonts w:ascii="Calibri" w:hAnsi="Calibri" w:eastAsia="宋体" w:cs="Calibri"/>
                <w:color w:val="000000"/>
                <w:sz w:val="14"/>
                <w:szCs w:val="18"/>
              </w:rPr>
            </w:pPr>
            <w:r>
              <w:rPr>
                <w:rFonts w:ascii="Calibri" w:hAnsi="Calibri" w:eastAsia="宋体" w:cs="Calibri"/>
                <w:color w:val="000000"/>
                <w:sz w:val="14"/>
                <w:szCs w:val="18"/>
              </w:rPr>
              <w:t>4Rx</w:t>
            </w:r>
          </w:p>
        </w:tc>
        <w:tc>
          <w:tcPr>
            <w:tcW w:w="962" w:type="dxa"/>
            <w:vMerge w:val="continue"/>
            <w:tcBorders>
              <w:left w:val="single" w:color="auto" w:sz="4" w:space="0"/>
              <w:bottom w:val="single" w:color="auto" w:sz="4" w:space="0"/>
              <w:right w:val="single" w:color="auto" w:sz="4" w:space="0"/>
            </w:tcBorders>
            <w:vAlign w:val="center"/>
          </w:tcPr>
          <w:p>
            <w:pPr>
              <w:spacing w:after="0"/>
              <w:rPr>
                <w:rFonts w:ascii="Calibri" w:hAnsi="Calibri" w:eastAsia="宋体" w:cs="Calibri"/>
                <w:color w:val="000000"/>
                <w:sz w:val="14"/>
                <w:szCs w:val="18"/>
              </w:rPr>
            </w:pPr>
          </w:p>
        </w:tc>
        <w:tc>
          <w:tcPr>
            <w:tcW w:w="1030" w:type="dxa"/>
            <w:vMerge w:val="continue"/>
            <w:tcBorders>
              <w:left w:val="single" w:color="auto" w:sz="4" w:space="0"/>
              <w:bottom w:val="single" w:color="auto" w:sz="4" w:space="0"/>
              <w:right w:val="single" w:color="auto" w:sz="4" w:space="0"/>
            </w:tcBorders>
          </w:tcPr>
          <w:p>
            <w:pPr>
              <w:spacing w:after="0"/>
              <w:jc w:val="center"/>
              <w:rPr>
                <w:rFonts w:ascii="Calibri" w:hAnsi="Calibri" w:eastAsia="宋体" w:cs="Calibri"/>
                <w:color w:val="000000"/>
                <w:sz w:val="14"/>
                <w:szCs w:val="18"/>
              </w:rPr>
            </w:pPr>
          </w:p>
        </w:tc>
        <w:tc>
          <w:tcPr>
            <w:tcW w:w="973" w:type="dxa"/>
            <w:vMerge w:val="continue"/>
            <w:tcBorders>
              <w:top w:val="nil"/>
              <w:left w:val="single" w:color="auto" w:sz="4" w:space="0"/>
              <w:bottom w:val="single" w:color="auto" w:sz="4" w:space="0"/>
              <w:right w:val="single" w:color="auto" w:sz="4" w:space="0"/>
            </w:tcBorders>
            <w:vAlign w:val="center"/>
          </w:tcPr>
          <w:p>
            <w:pPr>
              <w:spacing w:after="0"/>
              <w:rPr>
                <w:rFonts w:ascii="Calibri" w:hAnsi="Calibri" w:eastAsia="宋体" w:cs="Calibri"/>
                <w:color w:val="000000"/>
                <w:sz w:val="14"/>
                <w:szCs w:val="18"/>
              </w:rPr>
            </w:pPr>
          </w:p>
        </w:tc>
        <w:tc>
          <w:tcPr>
            <w:tcW w:w="3320" w:type="dxa"/>
            <w:vMerge w:val="continue"/>
            <w:tcBorders>
              <w:top w:val="nil"/>
              <w:left w:val="single" w:color="auto" w:sz="4" w:space="0"/>
              <w:bottom w:val="single" w:color="auto" w:sz="4" w:space="0"/>
              <w:right w:val="single" w:color="auto" w:sz="4" w:space="0"/>
            </w:tcBorders>
            <w:vAlign w:val="center"/>
          </w:tcPr>
          <w:p>
            <w:pPr>
              <w:spacing w:after="0"/>
              <w:rPr>
                <w:rFonts w:ascii="Calibri" w:hAnsi="Calibri" w:eastAsia="宋体" w:cs="Calibri"/>
                <w:color w:val="000000"/>
                <w:sz w:val="14"/>
                <w:szCs w:val="18"/>
              </w:rPr>
            </w:pPr>
          </w:p>
        </w:tc>
      </w:tr>
      <w:bookmarkEnd w:id="1"/>
    </w:tbl>
    <w:p>
      <w:pPr>
        <w:spacing w:before="157" w:beforeLines="50"/>
        <w:rPr>
          <w:rFonts w:hint="eastAsia"/>
          <w:sz w:val="22"/>
          <w:szCs w:val="22"/>
          <w:lang w:val="en-US" w:eastAsia="zh-CN"/>
        </w:rPr>
      </w:pPr>
      <w:r>
        <w:rPr>
          <w:rFonts w:hint="eastAsia"/>
          <w:sz w:val="22"/>
          <w:szCs w:val="22"/>
          <w:lang w:val="en-US" w:eastAsia="zh-CN"/>
        </w:rPr>
        <w:t>It can be observed from the table that Type4 UE is assumed to have separate Rx chains for different CCs, similar with Type 2 UE. Different from Type2 UE, Type4 UE is up to 4-layer DL MIMO per CC.</w:t>
      </w:r>
    </w:p>
    <w:p>
      <w:pPr>
        <w:pStyle w:val="3"/>
        <w:rPr>
          <w:rFonts w:hint="default"/>
          <w:sz w:val="22"/>
          <w:szCs w:val="22"/>
          <w:lang w:val="en-US" w:eastAsia="zh-CN"/>
        </w:rPr>
      </w:pPr>
      <w:r>
        <w:rPr>
          <w:rFonts w:hint="eastAsia"/>
          <w:sz w:val="22"/>
          <w:szCs w:val="22"/>
          <w:lang w:val="en-US" w:eastAsia="zh-CN"/>
        </w:rPr>
        <w:t>2.1 MRTD/MTTD requirements</w:t>
      </w:r>
    </w:p>
    <w:p>
      <w:pPr>
        <w:spacing w:before="157" w:beforeLines="50"/>
        <w:rPr>
          <w:rFonts w:hint="default"/>
          <w:sz w:val="22"/>
          <w:szCs w:val="22"/>
          <w:lang w:val="en-US" w:eastAsia="zh-CN"/>
        </w:rPr>
      </w:pPr>
      <w:r>
        <w:rPr>
          <w:rFonts w:hint="default"/>
          <w:sz w:val="22"/>
          <w:szCs w:val="22"/>
          <w:lang w:val="en-US" w:eastAsia="zh-CN"/>
        </w:rPr>
        <w:t>MRTD is specified with the combination of BS TAE and the propagation delay difference among the cells. BS TAE has been already specified to 3usec in TS 38.104.</w:t>
      </w:r>
      <w:r>
        <w:rPr>
          <w:rFonts w:hint="eastAsia"/>
          <w:sz w:val="22"/>
          <w:szCs w:val="22"/>
          <w:lang w:val="en-US" w:eastAsia="zh-CN"/>
        </w:rPr>
        <w:t xml:space="preserve"> </w:t>
      </w:r>
      <w:r>
        <w:rPr>
          <w:rFonts w:hint="default"/>
          <w:sz w:val="22"/>
          <w:szCs w:val="22"/>
          <w:lang w:val="en-US" w:eastAsia="zh-CN"/>
        </w:rPr>
        <w:t xml:space="preserve">For non-collocated deployment, the distance between the cells in non-collocated deployment </w:t>
      </w:r>
      <w:r>
        <w:rPr>
          <w:rFonts w:hint="eastAsia"/>
          <w:sz w:val="22"/>
          <w:szCs w:val="22"/>
          <w:lang w:val="en-US" w:eastAsia="zh-CN"/>
        </w:rPr>
        <w:t xml:space="preserve">is same for </w:t>
      </w:r>
      <w:r>
        <w:rPr>
          <w:rFonts w:hint="default"/>
          <w:sz w:val="22"/>
          <w:szCs w:val="22"/>
          <w:lang w:val="en-US" w:eastAsia="zh-CN"/>
        </w:rPr>
        <w:t>FR1 inter-band or FR1 intra-band EN-DC or NR-CA,</w:t>
      </w:r>
      <w:r>
        <w:rPr>
          <w:rFonts w:hint="eastAsia"/>
          <w:sz w:val="22"/>
          <w:szCs w:val="22"/>
          <w:lang w:val="en-US" w:eastAsia="zh-CN"/>
        </w:rPr>
        <w:t xml:space="preserve"> and</w:t>
      </w:r>
      <w:r>
        <w:rPr>
          <w:rFonts w:hint="default"/>
          <w:sz w:val="22"/>
          <w:szCs w:val="22"/>
          <w:lang w:val="en-US" w:eastAsia="zh-CN"/>
        </w:rPr>
        <w:t xml:space="preserve"> we assume 9km distance for FR1 cell coverage, the maximum propagation delay difference would be 30us to support 9km FR1 cell coverage. </w:t>
      </w:r>
    </w:p>
    <w:p>
      <w:pPr>
        <w:numPr>
          <w:ilvl w:val="0"/>
          <w:numId w:val="0"/>
        </w:numPr>
        <w:spacing w:before="0" w:beforeLines="-2147483648"/>
        <w:rPr>
          <w:rFonts w:hint="default" w:eastAsia="宋体"/>
          <w:sz w:val="22"/>
          <w:lang w:val="en-US" w:eastAsia="zh-CN"/>
        </w:rPr>
      </w:pPr>
      <w:r>
        <w:rPr>
          <w:rFonts w:hint="eastAsia"/>
          <w:sz w:val="22"/>
          <w:szCs w:val="22"/>
          <w:lang w:val="en-US" w:eastAsia="zh-CN"/>
        </w:rPr>
        <w:t>It</w:t>
      </w:r>
      <w:r>
        <w:rPr>
          <w:rFonts w:hint="default"/>
          <w:sz w:val="22"/>
          <w:szCs w:val="22"/>
          <w:lang w:val="en-US" w:eastAsia="zh-CN"/>
        </w:rPr>
        <w:t>’</w:t>
      </w:r>
      <w:r>
        <w:rPr>
          <w:rFonts w:hint="eastAsia"/>
          <w:sz w:val="22"/>
          <w:szCs w:val="22"/>
          <w:lang w:val="en-US" w:eastAsia="zh-CN"/>
        </w:rPr>
        <w:t xml:space="preserve">s the common understanding that </w:t>
      </w:r>
      <w:r>
        <w:rPr>
          <w:rFonts w:hint="eastAsia" w:eastAsia="宋体"/>
          <w:sz w:val="22"/>
          <w:lang w:val="en-US" w:eastAsia="zh-CN"/>
        </w:rPr>
        <w:t>t</w:t>
      </w:r>
      <w:r>
        <w:rPr>
          <w:rFonts w:eastAsia="宋体"/>
          <w:sz w:val="22"/>
          <w:lang w:eastAsia="zh-CN"/>
        </w:rPr>
        <w:t>he maximum propagation delay difference will be impacted by the allowed power balance level, where the propagation delay difference is increased with the power balance level.</w:t>
      </w:r>
      <w:r>
        <w:rPr>
          <w:rFonts w:hint="eastAsia" w:eastAsia="宋体"/>
          <w:sz w:val="22"/>
          <w:lang w:val="en-US" w:eastAsia="zh-CN"/>
        </w:rPr>
        <w:t xml:space="preserve"> In RF session, there is already confirm to use </w:t>
      </w:r>
      <w:r>
        <w:rPr>
          <w:sz w:val="22"/>
          <w:lang w:eastAsia="zh-CN"/>
        </w:rPr>
        <w:t>25dB power imbalance for 4Rx for Type 4</w:t>
      </w:r>
      <w:r>
        <w:rPr>
          <w:rFonts w:hint="eastAsia"/>
          <w:sz w:val="22"/>
          <w:lang w:val="en-US" w:eastAsia="zh-CN"/>
        </w:rPr>
        <w:t xml:space="preserve"> [3]. Therefore, MRTD/MTTD requirements of type2 UE is enough to type4 UE.</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1" w:type="dxa"/>
          </w:tcPr>
          <w:p>
            <w:pPr>
              <w:rPr>
                <w:rFonts w:hint="default" w:eastAsia="宋体"/>
                <w:lang w:val="en-US" w:eastAsia="zh-CN"/>
              </w:rPr>
            </w:pPr>
            <w:r>
              <w:rPr>
                <w:rFonts w:hint="eastAsia"/>
                <w:lang w:val="en-US" w:eastAsia="zh-CN"/>
              </w:rPr>
              <w:t>RAN4#111</w:t>
            </w:r>
          </w:p>
          <w:p>
            <w:r>
              <w:t>&lt; Issue 2-1-1:  Power imbalance requirements and REFSENS &gt;</w:t>
            </w:r>
          </w:p>
          <w:p>
            <w:pPr>
              <w:rPr>
                <w:b/>
                <w:lang w:val="sv-SE" w:eastAsia="zh-CN"/>
              </w:rPr>
            </w:pPr>
            <w:r>
              <w:rPr>
                <w:b/>
                <w:lang w:val="sv-SE" w:eastAsia="zh-CN"/>
              </w:rPr>
              <w:t xml:space="preserve">Agreement: </w:t>
            </w:r>
          </w:p>
          <w:p>
            <w:pPr>
              <w:numPr>
                <w:ilvl w:val="0"/>
                <w:numId w:val="6"/>
              </w:numPr>
              <w:rPr>
                <w:lang w:val="sv-SE" w:eastAsia="zh-CN"/>
              </w:rPr>
            </w:pPr>
            <w:r>
              <w:rPr>
                <w:lang w:eastAsia="zh-CN"/>
              </w:rPr>
              <w:t xml:space="preserve">Use </w:t>
            </w:r>
            <w:bookmarkStart w:id="2" w:name="OLE_LINK16"/>
            <w:r>
              <w:rPr>
                <w:lang w:eastAsia="zh-CN"/>
              </w:rPr>
              <w:t>25dB power imbalance for</w:t>
            </w:r>
            <w:bookmarkStart w:id="3" w:name="OLE_LINK15"/>
            <w:r>
              <w:rPr>
                <w:lang w:eastAsia="zh-CN"/>
              </w:rPr>
              <w:t xml:space="preserve"> 4Rx REFSENS + 1dB</w:t>
            </w:r>
            <w:bookmarkEnd w:id="2"/>
            <w:bookmarkEnd w:id="3"/>
            <w:r>
              <w:rPr>
                <w:lang w:eastAsia="zh-CN"/>
              </w:rPr>
              <w:t xml:space="preserve"> for Type 4</w:t>
            </w:r>
          </w:p>
          <w:p>
            <w:pPr>
              <w:rPr>
                <w:rFonts w:eastAsia="宋体"/>
                <w:lang w:eastAsia="zh-CN"/>
              </w:rPr>
            </w:pPr>
          </w:p>
        </w:tc>
      </w:tr>
    </w:tbl>
    <w:p>
      <w:pPr>
        <w:widowControl w:val="0"/>
        <w:adjustRightInd w:val="0"/>
        <w:snapToGrid w:val="0"/>
        <w:spacing w:before="180"/>
        <w:rPr>
          <w:rFonts w:hint="eastAsia"/>
          <w:sz w:val="21"/>
          <w:szCs w:val="21"/>
          <w:lang w:val="en-US" w:eastAsia="zh-CN"/>
        </w:rPr>
      </w:pPr>
      <w:r>
        <w:rPr>
          <w:rFonts w:hint="eastAsia"/>
          <w:sz w:val="21"/>
          <w:szCs w:val="21"/>
          <w:lang w:val="en-US" w:eastAsia="zh-CN"/>
        </w:rPr>
        <w:t xml:space="preserve">In our understanding, the current MRTD/MTTD requirements of Type 2 UE can be reused for Type 4 UE. </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1" w:type="dxa"/>
          </w:tcPr>
          <w:p>
            <w:pPr>
              <w:rPr>
                <w:rFonts w:hint="default" w:eastAsia="宋体"/>
                <w:u w:val="single"/>
                <w:lang w:val="en-US" w:eastAsia="zh-CN"/>
              </w:rPr>
            </w:pPr>
            <w:r>
              <w:rPr>
                <w:rFonts w:hint="eastAsia"/>
                <w:u w:val="single"/>
                <w:lang w:val="en-US" w:eastAsia="zh-CN"/>
              </w:rPr>
              <w:t>RAN4#105</w:t>
            </w:r>
          </w:p>
          <w:p>
            <w:pPr>
              <w:rPr>
                <w:u w:val="single"/>
                <w:lang w:val="en-US"/>
              </w:rPr>
            </w:pPr>
            <w:r>
              <w:rPr>
                <w:u w:val="single"/>
                <w:lang w:val="en-US"/>
              </w:rPr>
              <w:t>Issue 1-2-1: MRTD/MTTD requirements for non-collocated FR1 intra-band non-contiguous NR-CA for Type 2 UE</w:t>
            </w:r>
          </w:p>
          <w:p>
            <w:pPr>
              <w:pStyle w:val="33"/>
              <w:numPr>
                <w:ilvl w:val="0"/>
                <w:numId w:val="6"/>
              </w:num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Agreements</w:t>
            </w:r>
          </w:p>
          <w:p>
            <w:pPr>
              <w:pStyle w:val="33"/>
              <w:numPr>
                <w:ilvl w:val="1"/>
                <w:numId w:val="6"/>
              </w:numPr>
              <w:rPr>
                <w:color w:val="000000" w:themeColor="text1"/>
                <w:highlight w:val="none"/>
                <w14:textFill>
                  <w14:solidFill>
                    <w14:schemeClr w14:val="tx1"/>
                  </w14:solidFill>
                </w14:textFill>
              </w:rPr>
            </w:pPr>
            <w:r>
              <w:rPr>
                <w:highlight w:val="none"/>
                <w:u w:val="single"/>
              </w:rPr>
              <w:t>MRTD/MTTD requirements for non-collocated FR1 intra-band non-contiguous NR-CA for Type 2 UE</w:t>
            </w:r>
          </w:p>
          <w:p>
            <w:pPr>
              <w:pStyle w:val="33"/>
              <w:numPr>
                <w:ilvl w:val="2"/>
                <w:numId w:val="6"/>
              </w:num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MRTD = 33us</w:t>
            </w:r>
          </w:p>
          <w:p>
            <w:pPr>
              <w:rPr>
                <w:highlight w:val="none"/>
                <w:u w:val="single"/>
                <w:lang w:val="en-US"/>
              </w:rPr>
            </w:pPr>
            <w:r>
              <w:rPr>
                <w:highlight w:val="none"/>
                <w:u w:val="single"/>
                <w:lang w:val="en-US"/>
              </w:rPr>
              <w:t>Issue 1-2-2: MRTD/MTTD requirements for non-collocated FR1 intra-band synchronous EN-DC for Type 2 UE</w:t>
            </w:r>
          </w:p>
          <w:p>
            <w:pPr>
              <w:pStyle w:val="33"/>
              <w:numPr>
                <w:ilvl w:val="0"/>
                <w:numId w:val="6"/>
              </w:numPr>
              <w:rPr>
                <w:color w:val="auto"/>
                <w:highlight w:val="none"/>
              </w:rPr>
            </w:pPr>
            <w:r>
              <w:rPr>
                <w:color w:val="auto"/>
                <w:highlight w:val="none"/>
              </w:rPr>
              <w:t>Discussion</w:t>
            </w:r>
          </w:p>
          <w:p>
            <w:pPr>
              <w:pStyle w:val="33"/>
              <w:numPr>
                <w:ilvl w:val="1"/>
                <w:numId w:val="6"/>
              </w:numPr>
              <w:rPr>
                <w:color w:val="auto"/>
                <w:highlight w:val="none"/>
              </w:rPr>
            </w:pPr>
            <w:r>
              <w:rPr>
                <w:color w:val="auto"/>
                <w:highlight w:val="none"/>
              </w:rPr>
              <w:t>QC: Change “</w:t>
            </w:r>
            <w:r>
              <w:rPr>
                <w:color w:val="auto"/>
                <w:highlight w:val="none"/>
                <w:u w:val="single"/>
              </w:rPr>
              <w:t>non-collocated FR1 intra-band synchronous EN-DC</w:t>
            </w:r>
            <w:r>
              <w:rPr>
                <w:color w:val="auto"/>
                <w:highlight w:val="none"/>
              </w:rPr>
              <w:t>” =&gt; “</w:t>
            </w:r>
            <w:r>
              <w:rPr>
                <w:color w:val="auto"/>
                <w:highlight w:val="none"/>
                <w:u w:val="single"/>
              </w:rPr>
              <w:t>non-collocated FR1 inter-band synchronous EN-DC with overlapping DL bands</w:t>
            </w:r>
            <w:r>
              <w:rPr>
                <w:color w:val="auto"/>
                <w:highlight w:val="none"/>
              </w:rPr>
              <w:t>”</w:t>
            </w:r>
          </w:p>
          <w:p>
            <w:pPr>
              <w:pStyle w:val="33"/>
              <w:numPr>
                <w:ilvl w:val="0"/>
                <w:numId w:val="6"/>
              </w:numPr>
              <w:rPr>
                <w:color w:val="auto"/>
                <w:highlight w:val="none"/>
              </w:rPr>
            </w:pPr>
            <w:r>
              <w:rPr>
                <w:color w:val="auto"/>
                <w:highlight w:val="none"/>
              </w:rPr>
              <w:t>Agreements</w:t>
            </w:r>
          </w:p>
          <w:p>
            <w:pPr>
              <w:pStyle w:val="33"/>
              <w:numPr>
                <w:ilvl w:val="1"/>
                <w:numId w:val="6"/>
              </w:numPr>
              <w:rPr>
                <w:color w:val="auto"/>
                <w:highlight w:val="none"/>
              </w:rPr>
            </w:pPr>
            <w:r>
              <w:rPr>
                <w:color w:val="auto"/>
                <w:highlight w:val="none"/>
                <w:u w:val="single"/>
              </w:rPr>
              <w:t>MRTD/MTTD requirements for non-collocated FR1 inter-band synchronous EN-DC with overlapping DL bands for Type 2 UE</w:t>
            </w:r>
          </w:p>
          <w:p>
            <w:pPr>
              <w:pStyle w:val="33"/>
              <w:numPr>
                <w:ilvl w:val="2"/>
                <w:numId w:val="6"/>
              </w:numPr>
              <w:rPr>
                <w:color w:val="auto"/>
                <w:highlight w:val="none"/>
              </w:rPr>
            </w:pPr>
            <w:r>
              <w:rPr>
                <w:color w:val="auto"/>
                <w:highlight w:val="none"/>
              </w:rPr>
              <w:t>MRTD = 33us</w:t>
            </w:r>
          </w:p>
          <w:p>
            <w:pPr>
              <w:pStyle w:val="33"/>
              <w:numPr>
                <w:ilvl w:val="2"/>
                <w:numId w:val="6"/>
              </w:numPr>
              <w:rPr>
                <w:color w:val="auto"/>
                <w:highlight w:val="none"/>
              </w:rPr>
            </w:pPr>
            <w:r>
              <w:rPr>
                <w:color w:val="auto"/>
                <w:highlight w:val="none"/>
              </w:rPr>
              <w:t>MTTD = 35.21us</w:t>
            </w:r>
          </w:p>
          <w:p>
            <w:pPr>
              <w:rPr>
                <w:rFonts w:eastAsia="宋体"/>
                <w:lang w:eastAsia="zh-CN"/>
              </w:rPr>
            </w:pPr>
          </w:p>
        </w:tc>
      </w:tr>
    </w:tbl>
    <w:p>
      <w:pPr>
        <w:spacing w:before="157" w:beforeLines="50"/>
        <w:rPr>
          <w:rFonts w:eastAsiaTheme="minorEastAsia"/>
          <w:b/>
          <w:i/>
          <w:sz w:val="22"/>
          <w:highlight w:val="none"/>
          <w:lang w:val="en-US" w:eastAsia="zh-CN"/>
        </w:rPr>
      </w:pPr>
      <w:r>
        <w:rPr>
          <w:rFonts w:hint="default" w:eastAsiaTheme="minorEastAsia"/>
          <w:b/>
          <w:i/>
          <w:sz w:val="22"/>
          <w:szCs w:val="22"/>
          <w:highlight w:val="none"/>
          <w:lang w:val="en-US" w:eastAsia="zh-CN"/>
        </w:rPr>
        <w:t xml:space="preserve">Proposal 1: </w:t>
      </w:r>
      <w:r>
        <w:rPr>
          <w:rFonts w:eastAsiaTheme="minorEastAsia"/>
          <w:b/>
          <w:i/>
          <w:sz w:val="22"/>
          <w:highlight w:val="none"/>
          <w:lang w:val="en-US" w:eastAsia="zh-CN"/>
        </w:rPr>
        <w:t xml:space="preserve">For </w:t>
      </w:r>
      <w:r>
        <w:rPr>
          <w:rFonts w:hint="eastAsia" w:eastAsiaTheme="minorEastAsia"/>
          <w:b/>
          <w:i/>
          <w:sz w:val="22"/>
          <w:highlight w:val="none"/>
          <w:lang w:val="en-US" w:eastAsia="zh-CN"/>
        </w:rPr>
        <w:t>4</w:t>
      </w:r>
      <w:r>
        <w:rPr>
          <w:rFonts w:eastAsiaTheme="minorEastAsia"/>
          <w:b/>
          <w:i/>
          <w:sz w:val="22"/>
          <w:highlight w:val="none"/>
          <w:lang w:val="en-US" w:eastAsia="zh-CN"/>
        </w:rPr>
        <w:t xml:space="preserve"> layer MIMO case, the existing MRTD/MTTD requirements defined in 38.133 for inter-band case can be reused for intra-band EN-DC/NR-CA in non-collocated deployment.</w:t>
      </w:r>
    </w:p>
    <w:p>
      <w:pPr>
        <w:pStyle w:val="3"/>
        <w:rPr>
          <w:rFonts w:hint="eastAsia" w:eastAsiaTheme="minorEastAsia"/>
          <w:b w:val="0"/>
          <w:bCs/>
          <w:i w:val="0"/>
          <w:iCs/>
          <w:sz w:val="22"/>
          <w:lang w:val="en-US" w:eastAsia="zh-CN"/>
        </w:rPr>
      </w:pPr>
      <w:r>
        <w:rPr>
          <w:rFonts w:hint="eastAsia" w:eastAsiaTheme="minorEastAsia"/>
          <w:b w:val="0"/>
          <w:bCs/>
          <w:i w:val="0"/>
          <w:iCs/>
          <w:sz w:val="22"/>
          <w:lang w:val="en-US" w:eastAsia="zh-CN"/>
        </w:rPr>
        <w:t>2.2 SCell operation related delay and interruption</w:t>
      </w:r>
    </w:p>
    <w:p>
      <w:pPr>
        <w:pStyle w:val="4"/>
        <w:numPr>
          <w:ilvl w:val="0"/>
          <w:numId w:val="0"/>
        </w:numPr>
        <w:rPr>
          <w:rFonts w:hint="default"/>
          <w:sz w:val="22"/>
          <w:szCs w:val="16"/>
          <w:lang w:val="en-US" w:eastAsia="zh-CN"/>
        </w:rPr>
      </w:pPr>
      <w:r>
        <w:rPr>
          <w:rFonts w:hint="eastAsia"/>
          <w:sz w:val="22"/>
          <w:szCs w:val="16"/>
          <w:lang w:val="en-US" w:eastAsia="zh-CN"/>
        </w:rPr>
        <w:t xml:space="preserve">2.2.1 </w:t>
      </w:r>
      <w:r>
        <w:rPr>
          <w:sz w:val="22"/>
          <w:szCs w:val="16"/>
          <w:lang w:val="en-GB" w:eastAsia="zh-CN"/>
        </w:rPr>
        <w:t>SCell activation delay requirements</w:t>
      </w:r>
    </w:p>
    <w:p>
      <w:pPr>
        <w:widowControl w:val="0"/>
        <w:adjustRightInd w:val="0"/>
        <w:snapToGrid w:val="0"/>
        <w:spacing w:before="180"/>
        <w:rPr>
          <w:rFonts w:hint="eastAsia" w:eastAsia="宋体"/>
          <w:sz w:val="22"/>
          <w:lang w:val="en-US" w:eastAsia="zh-CN"/>
        </w:rPr>
      </w:pPr>
      <w:r>
        <w:rPr>
          <w:rFonts w:eastAsia="宋体"/>
          <w:sz w:val="22"/>
          <w:lang w:eastAsia="zh-CN"/>
        </w:rPr>
        <w:t>In R18, MRTD for</w:t>
      </w:r>
      <w:r>
        <w:rPr>
          <w:rFonts w:hint="eastAsia" w:eastAsia="宋体"/>
          <w:sz w:val="22"/>
          <w:lang w:eastAsia="zh-CN"/>
        </w:rPr>
        <w:t xml:space="preserve"> intra-band</w:t>
      </w:r>
      <w:r>
        <w:rPr>
          <w:rFonts w:eastAsia="宋体"/>
          <w:sz w:val="22"/>
          <w:lang w:eastAsia="zh-CN"/>
        </w:rPr>
        <w:t xml:space="preserve"> non-contiguous CA is extended from 3us to 33us, which is same as that for inter-band CA. </w:t>
      </w:r>
      <w:r>
        <w:rPr>
          <w:rFonts w:hint="eastAsia" w:eastAsia="宋体"/>
          <w:sz w:val="22"/>
          <w:lang w:val="en-US" w:eastAsia="zh-CN"/>
        </w:rPr>
        <w:t xml:space="preserve">Due to </w:t>
      </w:r>
      <w:r>
        <w:rPr>
          <w:rFonts w:eastAsia="宋体"/>
          <w:sz w:val="22"/>
          <w:lang w:eastAsia="zh-CN"/>
        </w:rPr>
        <w:t>the same SCell activation delay requirements are applied for FR1 intra-band collocated non-contiguous CA and FR1 inter-band CA cases</w:t>
      </w:r>
      <w:r>
        <w:rPr>
          <w:rFonts w:hint="eastAsia" w:eastAsia="宋体"/>
          <w:sz w:val="22"/>
          <w:lang w:val="en-US" w:eastAsia="zh-CN"/>
        </w:rPr>
        <w:t xml:space="preserve">, </w:t>
      </w:r>
      <w:r>
        <w:rPr>
          <w:rFonts w:eastAsia="宋体"/>
          <w:sz w:val="22"/>
          <w:lang w:eastAsia="zh-CN"/>
        </w:rPr>
        <w:t xml:space="preserve">the </w:t>
      </w:r>
      <w:r>
        <w:rPr>
          <w:rFonts w:hint="eastAsia" w:eastAsia="宋体"/>
          <w:sz w:val="22"/>
          <w:lang w:eastAsia="zh-CN"/>
        </w:rPr>
        <w:t>SCell</w:t>
      </w:r>
      <w:r>
        <w:rPr>
          <w:rFonts w:eastAsia="宋体"/>
          <w:sz w:val="22"/>
          <w:lang w:eastAsia="zh-CN"/>
        </w:rPr>
        <w:t xml:space="preserve"> activation delay requirements for inter-band CA case</w:t>
      </w:r>
      <w:r>
        <w:rPr>
          <w:rFonts w:hint="eastAsia" w:eastAsia="宋体"/>
          <w:sz w:val="22"/>
          <w:lang w:val="en-US" w:eastAsia="zh-CN"/>
        </w:rPr>
        <w:t xml:space="preserve"> have been</w:t>
      </w:r>
      <w:r>
        <w:rPr>
          <w:rFonts w:eastAsia="宋体"/>
          <w:sz w:val="22"/>
          <w:lang w:eastAsia="zh-CN"/>
        </w:rPr>
        <w:t xml:space="preserve"> </w:t>
      </w:r>
      <w:r>
        <w:rPr>
          <w:rFonts w:hint="eastAsia" w:eastAsia="宋体"/>
          <w:sz w:val="22"/>
          <w:lang w:val="en-US" w:eastAsia="zh-CN"/>
        </w:rPr>
        <w:t>reused f</w:t>
      </w:r>
      <w:r>
        <w:rPr>
          <w:rFonts w:hint="eastAsia" w:eastAsia="宋体"/>
          <w:sz w:val="22"/>
          <w:lang w:eastAsia="zh-CN"/>
        </w:rPr>
        <w:t>or</w:t>
      </w:r>
      <w:r>
        <w:rPr>
          <w:rFonts w:eastAsia="宋体"/>
          <w:sz w:val="22"/>
          <w:lang w:eastAsia="zh-CN"/>
        </w:rPr>
        <w:t xml:space="preserve"> </w:t>
      </w:r>
      <w:r>
        <w:rPr>
          <w:rFonts w:hint="eastAsia" w:eastAsia="宋体"/>
          <w:sz w:val="22"/>
          <w:lang w:eastAsia="zh-CN"/>
        </w:rPr>
        <w:t>intra-band</w:t>
      </w:r>
      <w:r>
        <w:rPr>
          <w:rFonts w:eastAsia="宋体"/>
          <w:sz w:val="22"/>
          <w:lang w:eastAsia="zh-CN"/>
        </w:rPr>
        <w:t xml:space="preserve"> non-contiguous case.</w:t>
      </w:r>
      <w:r>
        <w:rPr>
          <w:rFonts w:hint="eastAsia" w:eastAsia="宋体"/>
          <w:sz w:val="22"/>
          <w:lang w:val="en-US" w:eastAsia="zh-CN"/>
        </w:rPr>
        <w:t xml:space="preserve"> With the same reason, if MRTD requirement can be reused for Type 4 UE, the current SCell activation delay requirements for FR1 intra-band non-collocated non-contiguous CA for Type 2 UE and FR1 inter-band CA can also be applied for FR1 intra-band non-collocated non-contiguous CA for Type 4 UE.</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92"/>
        <w:gridCol w:w="3198"/>
        <w:gridCol w:w="53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48" w:type="dxa"/>
            <w:gridSpan w:val="2"/>
          </w:tcPr>
          <w:p>
            <w:pPr>
              <w:widowControl w:val="0"/>
              <w:adjustRightInd w:val="0"/>
              <w:snapToGrid w:val="0"/>
              <w:spacing w:after="0"/>
              <w:jc w:val="center"/>
              <w:rPr>
                <w:rFonts w:eastAsia="宋体"/>
                <w:b/>
                <w:sz w:val="22"/>
                <w:lang w:eastAsia="zh-CN"/>
              </w:rPr>
            </w:pPr>
            <w:r>
              <w:rPr>
                <w:rFonts w:eastAsia="宋体"/>
                <w:b/>
                <w:sz w:val="22"/>
                <w:lang w:eastAsia="zh-CN"/>
              </w:rPr>
              <w:t>Scenario#</w:t>
            </w:r>
          </w:p>
        </w:tc>
        <w:tc>
          <w:tcPr>
            <w:tcW w:w="5373" w:type="dxa"/>
          </w:tcPr>
          <w:p>
            <w:pPr>
              <w:widowControl w:val="0"/>
              <w:adjustRightInd w:val="0"/>
              <w:snapToGrid w:val="0"/>
              <w:spacing w:after="0"/>
              <w:jc w:val="center"/>
              <w:rPr>
                <w:rFonts w:eastAsia="宋体"/>
                <w:b/>
                <w:sz w:val="22"/>
                <w:lang w:eastAsia="zh-CN"/>
              </w:rPr>
            </w:pPr>
            <w:r>
              <w:rPr>
                <w:rFonts w:eastAsia="宋体"/>
                <w:b/>
                <w:sz w:val="22"/>
                <w:lang w:eastAsia="zh-CN"/>
              </w:rPr>
              <w:t>T</w:t>
            </w:r>
            <w:r>
              <w:rPr>
                <w:rFonts w:eastAsia="宋体"/>
                <w:b/>
                <w:sz w:val="22"/>
                <w:vertAlign w:val="subscript"/>
                <w:lang w:eastAsia="zh-CN"/>
              </w:rPr>
              <w:t>activation_time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0" w:type="dxa"/>
            <w:vMerge w:val="restart"/>
          </w:tcPr>
          <w:p>
            <w:pPr>
              <w:widowControl w:val="0"/>
              <w:adjustRightInd w:val="0"/>
              <w:snapToGrid w:val="0"/>
              <w:spacing w:after="0"/>
              <w:jc w:val="center"/>
              <w:rPr>
                <w:rFonts w:eastAsia="宋体"/>
                <w:b/>
                <w:sz w:val="22"/>
                <w:lang w:eastAsia="zh-CN"/>
              </w:rPr>
            </w:pPr>
            <w:r>
              <w:rPr>
                <w:b/>
              </w:rPr>
              <w:t>Known SCell</w:t>
            </w:r>
          </w:p>
        </w:tc>
        <w:tc>
          <w:tcPr>
            <w:tcW w:w="3198" w:type="dxa"/>
          </w:tcPr>
          <w:p>
            <w:pPr>
              <w:widowControl w:val="0"/>
              <w:adjustRightInd w:val="0"/>
              <w:snapToGrid w:val="0"/>
              <w:spacing w:after="0"/>
              <w:rPr>
                <w:rFonts w:eastAsia="宋体"/>
                <w:i/>
                <w:sz w:val="22"/>
                <w:lang w:eastAsia="zh-CN"/>
              </w:rPr>
            </w:pPr>
            <w:r>
              <w:rPr>
                <w:i/>
              </w:rPr>
              <w:t xml:space="preserve">The activated SCell measurement period is </w:t>
            </w:r>
            <w:r>
              <w:rPr>
                <w:b/>
                <w:i/>
              </w:rPr>
              <w:t>no larger than</w:t>
            </w:r>
            <w:r>
              <w:rPr>
                <w:i/>
              </w:rPr>
              <w:t xml:space="preserve"> 2400ms</w:t>
            </w:r>
          </w:p>
        </w:tc>
        <w:tc>
          <w:tcPr>
            <w:tcW w:w="5373" w:type="dxa"/>
          </w:tcPr>
          <w:p>
            <w:pPr>
              <w:widowControl w:val="0"/>
              <w:adjustRightInd w:val="0"/>
              <w:snapToGrid w:val="0"/>
              <w:spacing w:after="0"/>
              <w:rPr>
                <w:rFonts w:eastAsia="宋体"/>
                <w:i/>
                <w:sz w:val="22"/>
                <w:lang w:eastAsia="zh-CN"/>
              </w:rPr>
            </w:pPr>
            <w:r>
              <w:rPr>
                <w:i/>
              </w:rPr>
              <w:t>-</w:t>
            </w:r>
            <w:r>
              <w:rPr>
                <w:i/>
              </w:rPr>
              <w:tab/>
            </w:r>
            <w:r>
              <w:rPr>
                <w:i/>
              </w:rPr>
              <w:t>T</w:t>
            </w:r>
            <w:r>
              <w:rPr>
                <w:i/>
                <w:vertAlign w:val="subscript"/>
              </w:rPr>
              <w:t>FirstSSB</w:t>
            </w:r>
            <w:r>
              <w:rPr>
                <w:i/>
              </w:rPr>
              <w:t>+ 5ms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0" w:type="dxa"/>
            <w:vMerge w:val="continue"/>
          </w:tcPr>
          <w:p>
            <w:pPr>
              <w:widowControl w:val="0"/>
              <w:adjustRightInd w:val="0"/>
              <w:snapToGrid w:val="0"/>
              <w:spacing w:after="0"/>
              <w:jc w:val="center"/>
              <w:rPr>
                <w:rFonts w:eastAsia="宋体"/>
                <w:sz w:val="22"/>
                <w:lang w:eastAsia="zh-CN"/>
              </w:rPr>
            </w:pPr>
          </w:p>
        </w:tc>
        <w:tc>
          <w:tcPr>
            <w:tcW w:w="3198" w:type="dxa"/>
          </w:tcPr>
          <w:p>
            <w:pPr>
              <w:widowControl w:val="0"/>
              <w:adjustRightInd w:val="0"/>
              <w:snapToGrid w:val="0"/>
              <w:spacing w:after="0"/>
              <w:rPr>
                <w:rFonts w:eastAsia="宋体"/>
                <w:i/>
                <w:sz w:val="22"/>
                <w:lang w:eastAsia="zh-CN"/>
              </w:rPr>
            </w:pPr>
            <w:r>
              <w:rPr>
                <w:i/>
              </w:rPr>
              <w:t xml:space="preserve">The activated SCell measurement period is </w:t>
            </w:r>
            <w:r>
              <w:rPr>
                <w:b/>
                <w:i/>
              </w:rPr>
              <w:t>larger than</w:t>
            </w:r>
            <w:r>
              <w:rPr>
                <w:i/>
              </w:rPr>
              <w:t xml:space="preserve"> 2400ms</w:t>
            </w:r>
          </w:p>
        </w:tc>
        <w:tc>
          <w:tcPr>
            <w:tcW w:w="5373" w:type="dxa"/>
          </w:tcPr>
          <w:p>
            <w:pPr>
              <w:widowControl w:val="0"/>
              <w:adjustRightInd w:val="0"/>
              <w:snapToGrid w:val="0"/>
              <w:spacing w:after="0"/>
              <w:rPr>
                <w:rFonts w:eastAsia="宋体"/>
                <w:i/>
                <w:sz w:val="22"/>
                <w:lang w:eastAsia="zh-CN"/>
              </w:rPr>
            </w:pPr>
            <w:r>
              <w:rPr>
                <w:i/>
              </w:rPr>
              <w:t>-</w:t>
            </w:r>
            <w:r>
              <w:rPr>
                <w:i/>
              </w:rPr>
              <w:tab/>
            </w:r>
            <w:r>
              <w:rPr>
                <w:i/>
              </w:rPr>
              <w:t>T</w:t>
            </w:r>
            <w:r>
              <w:rPr>
                <w:i/>
                <w:vertAlign w:val="subscript"/>
              </w:rPr>
              <w:t>FirstSSB_MAX</w:t>
            </w:r>
            <w:r>
              <w:rPr>
                <w:i/>
              </w:rPr>
              <w:t xml:space="preserve"> + T</w:t>
            </w:r>
            <w:r>
              <w:rPr>
                <w:i/>
                <w:vertAlign w:val="subscript"/>
              </w:rPr>
              <w:t>rs</w:t>
            </w:r>
            <w:r>
              <w:rPr>
                <w:i/>
              </w:rPr>
              <w:t xml:space="preserve"> + 5ms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0" w:type="dxa"/>
            <w:vMerge w:val="restart"/>
          </w:tcPr>
          <w:p>
            <w:pPr>
              <w:widowControl w:val="0"/>
              <w:adjustRightInd w:val="0"/>
              <w:snapToGrid w:val="0"/>
              <w:spacing w:after="0"/>
              <w:jc w:val="center"/>
              <w:rPr>
                <w:rFonts w:eastAsia="宋体"/>
                <w:sz w:val="22"/>
                <w:lang w:eastAsia="zh-CN"/>
              </w:rPr>
            </w:pPr>
            <w:r>
              <w:rPr>
                <w:b/>
              </w:rPr>
              <w:t>Unknown SCell</w:t>
            </w:r>
          </w:p>
        </w:tc>
        <w:tc>
          <w:tcPr>
            <w:tcW w:w="3198" w:type="dxa"/>
          </w:tcPr>
          <w:p>
            <w:pPr>
              <w:widowControl w:val="0"/>
              <w:adjustRightInd w:val="0"/>
              <w:snapToGrid w:val="0"/>
              <w:spacing w:after="0"/>
              <w:rPr>
                <w:rFonts w:eastAsiaTheme="minorEastAsia"/>
                <w:i/>
                <w:lang w:eastAsia="zh-CN"/>
              </w:rPr>
            </w:pPr>
            <w:r>
              <w:rPr>
                <w:rFonts w:eastAsiaTheme="minorEastAsia"/>
                <w:i/>
                <w:lang w:eastAsia="zh-CN"/>
              </w:rPr>
              <w:t>W</w:t>
            </w:r>
            <w:r>
              <w:rPr>
                <w:rFonts w:hint="eastAsia" w:eastAsiaTheme="minorEastAsia"/>
                <w:i/>
                <w:lang w:eastAsia="zh-CN"/>
              </w:rPr>
              <w:t>hen</w:t>
            </w:r>
            <w:r>
              <w:rPr>
                <w:rFonts w:eastAsiaTheme="minorEastAsia"/>
                <w:i/>
                <w:lang w:eastAsia="zh-CN"/>
              </w:rPr>
              <w:t xml:space="preserve"> one of the following conditions is </w:t>
            </w:r>
            <w:r>
              <w:rPr>
                <w:rFonts w:eastAsiaTheme="minorEastAsia"/>
                <w:b/>
                <w:i/>
                <w:lang w:eastAsia="zh-CN"/>
              </w:rPr>
              <w:t>met</w:t>
            </w:r>
            <w:r>
              <w:rPr>
                <w:rFonts w:hint="eastAsia" w:eastAsiaTheme="minorEastAsia"/>
                <w:i/>
                <w:lang w:eastAsia="zh-CN"/>
              </w:rPr>
              <w:t>:</w:t>
            </w:r>
          </w:p>
          <w:p>
            <w:pPr>
              <w:snapToGrid w:val="0"/>
              <w:spacing w:after="0"/>
              <w:ind w:left="225" w:leftChars="-28" w:hanging="284"/>
              <w:rPr>
                <w:i/>
              </w:rPr>
            </w:pPr>
            <w:r>
              <w:rPr>
                <w:i/>
              </w:rPr>
              <w:t>-</w:t>
            </w:r>
            <w:r>
              <w:rPr>
                <w:i/>
              </w:rPr>
              <w:tab/>
            </w:r>
            <w:r>
              <w:rPr>
                <w:i/>
              </w:rPr>
              <w:t>‘ssb-PositionInBurst’ indicates only one SSB is being actually transmitted, or</w:t>
            </w:r>
          </w:p>
          <w:p>
            <w:pPr>
              <w:snapToGrid w:val="0"/>
              <w:spacing w:after="0"/>
              <w:ind w:left="225" w:leftChars="-28" w:hanging="284"/>
              <w:rPr>
                <w:i/>
              </w:rPr>
            </w:pPr>
            <w:r>
              <w:rPr>
                <w:i/>
              </w:rPr>
              <w:t>-</w:t>
            </w:r>
            <w:r>
              <w:rPr>
                <w:i/>
              </w:rPr>
              <w:tab/>
            </w:r>
            <w:r>
              <w:rPr>
                <w:i/>
              </w:rPr>
              <w:t>‘ssb-PositionInBurst’ indicates multiple SSBs and TCI indication is provided in same MAC PDU with SCell activation</w:t>
            </w:r>
          </w:p>
        </w:tc>
        <w:tc>
          <w:tcPr>
            <w:tcW w:w="5373" w:type="dxa"/>
          </w:tcPr>
          <w:p>
            <w:pPr>
              <w:widowControl w:val="0"/>
              <w:adjustRightInd w:val="0"/>
              <w:snapToGrid w:val="0"/>
              <w:spacing w:after="0"/>
              <w:rPr>
                <w:i/>
              </w:rPr>
            </w:pPr>
            <w:r>
              <w:rPr>
                <w:i/>
              </w:rPr>
              <w:t>-</w:t>
            </w:r>
            <w:r>
              <w:rPr>
                <w:i/>
              </w:rPr>
              <w:tab/>
            </w:r>
            <w:r>
              <w:rPr>
                <w:i/>
              </w:rPr>
              <w:t>T</w:t>
            </w:r>
            <w:r>
              <w:rPr>
                <w:i/>
                <w:vertAlign w:val="subscript"/>
              </w:rPr>
              <w:t>FirstSSB_MAX</w:t>
            </w:r>
            <w:r>
              <w:rPr>
                <w:i/>
              </w:rPr>
              <w:t xml:space="preserve"> + </w:t>
            </w:r>
            <w:r>
              <w:rPr>
                <w:i/>
                <w:lang w:eastAsia="zh-CN"/>
              </w:rPr>
              <w:t>T</w:t>
            </w:r>
            <w:r>
              <w:rPr>
                <w:i/>
                <w:vertAlign w:val="subscript"/>
                <w:lang w:eastAsia="zh-CN"/>
              </w:rPr>
              <w:t xml:space="preserve">SMTC_MAX </w:t>
            </w:r>
            <w:r>
              <w:rPr>
                <w:i/>
                <w:lang w:eastAsia="zh-CN"/>
              </w:rPr>
              <w:t>+ 2*T</w:t>
            </w:r>
            <w:r>
              <w:rPr>
                <w:i/>
                <w:vertAlign w:val="subscript"/>
                <w:lang w:eastAsia="zh-CN"/>
              </w:rPr>
              <w:t>rs</w:t>
            </w:r>
            <w:r>
              <w:rPr>
                <w:i/>
                <w:lang w:eastAsia="zh-CN"/>
              </w:rPr>
              <w:t xml:space="preserve"> + 5ms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0" w:type="dxa"/>
            <w:vMerge w:val="continue"/>
          </w:tcPr>
          <w:p>
            <w:pPr>
              <w:widowControl w:val="0"/>
              <w:adjustRightInd w:val="0"/>
              <w:snapToGrid w:val="0"/>
              <w:spacing w:after="0"/>
              <w:jc w:val="center"/>
              <w:rPr>
                <w:rFonts w:eastAsia="宋体"/>
                <w:sz w:val="22"/>
                <w:lang w:eastAsia="zh-CN"/>
              </w:rPr>
            </w:pPr>
          </w:p>
        </w:tc>
        <w:tc>
          <w:tcPr>
            <w:tcW w:w="3198" w:type="dxa"/>
          </w:tcPr>
          <w:p>
            <w:pPr>
              <w:widowControl w:val="0"/>
              <w:adjustRightInd w:val="0"/>
              <w:snapToGrid w:val="0"/>
              <w:spacing w:after="0"/>
              <w:rPr>
                <w:rFonts w:eastAsiaTheme="minorEastAsia"/>
                <w:i/>
                <w:lang w:eastAsia="zh-CN"/>
              </w:rPr>
            </w:pPr>
            <w:r>
              <w:rPr>
                <w:rFonts w:eastAsiaTheme="minorEastAsia"/>
                <w:i/>
                <w:lang w:eastAsia="zh-CN"/>
              </w:rPr>
              <w:t>W</w:t>
            </w:r>
            <w:r>
              <w:rPr>
                <w:rFonts w:hint="eastAsia" w:eastAsiaTheme="minorEastAsia"/>
                <w:i/>
                <w:lang w:eastAsia="zh-CN"/>
              </w:rPr>
              <w:t>hen</w:t>
            </w:r>
            <w:r>
              <w:rPr>
                <w:rFonts w:eastAsiaTheme="minorEastAsia"/>
                <w:i/>
                <w:lang w:eastAsia="zh-CN"/>
              </w:rPr>
              <w:t xml:space="preserve"> both of the following conditions are </w:t>
            </w:r>
            <w:r>
              <w:rPr>
                <w:rFonts w:eastAsiaTheme="minorEastAsia"/>
                <w:b/>
                <w:i/>
                <w:lang w:eastAsia="zh-CN"/>
              </w:rPr>
              <w:t>not met</w:t>
            </w:r>
            <w:r>
              <w:rPr>
                <w:rFonts w:hint="eastAsia" w:eastAsiaTheme="minorEastAsia"/>
                <w:i/>
                <w:lang w:eastAsia="zh-CN"/>
              </w:rPr>
              <w:t>:</w:t>
            </w:r>
          </w:p>
          <w:p>
            <w:pPr>
              <w:snapToGrid w:val="0"/>
              <w:spacing w:after="0"/>
              <w:ind w:left="225" w:leftChars="-28" w:hanging="284"/>
              <w:rPr>
                <w:i/>
              </w:rPr>
            </w:pPr>
            <w:r>
              <w:rPr>
                <w:i/>
              </w:rPr>
              <w:t>-</w:t>
            </w:r>
            <w:r>
              <w:rPr>
                <w:i/>
              </w:rPr>
              <w:tab/>
            </w:r>
            <w:r>
              <w:rPr>
                <w:i/>
              </w:rPr>
              <w:t>‘ssb-PositionInBurst’ indicates only one SSB is being actually transmitted, or</w:t>
            </w:r>
          </w:p>
          <w:p>
            <w:pPr>
              <w:snapToGrid w:val="0"/>
              <w:spacing w:after="0"/>
              <w:ind w:left="225" w:leftChars="-28" w:hanging="284"/>
              <w:rPr>
                <w:i/>
              </w:rPr>
            </w:pPr>
            <w:r>
              <w:rPr>
                <w:i/>
              </w:rPr>
              <w:t>-</w:t>
            </w:r>
            <w:r>
              <w:rPr>
                <w:i/>
              </w:rPr>
              <w:tab/>
            </w:r>
            <w:r>
              <w:rPr>
                <w:i/>
              </w:rPr>
              <w:t>‘ssb-PositionInBurst’ indicates multiple SSBs and TCI indication is provided in same MAC PDU with SCell activation</w:t>
            </w:r>
          </w:p>
        </w:tc>
        <w:tc>
          <w:tcPr>
            <w:tcW w:w="5373" w:type="dxa"/>
          </w:tcPr>
          <w:p>
            <w:pPr>
              <w:widowControl w:val="0"/>
              <w:adjustRightInd w:val="0"/>
              <w:snapToGrid w:val="0"/>
              <w:spacing w:after="0"/>
              <w:rPr>
                <w:i/>
              </w:rPr>
            </w:pPr>
            <w:r>
              <w:rPr>
                <w:i/>
              </w:rPr>
              <w:t>-</w:t>
            </w:r>
            <w:r>
              <w:rPr>
                <w:i/>
              </w:rPr>
              <w:tab/>
            </w:r>
            <w:r>
              <w:rPr>
                <w:i/>
                <w:lang w:val="en-US" w:eastAsia="zh-CN"/>
              </w:rPr>
              <w:t>6ms + T</w:t>
            </w:r>
            <w:r>
              <w:rPr>
                <w:i/>
                <w:vertAlign w:val="subscript"/>
                <w:lang w:val="en-US" w:eastAsia="zh-CN"/>
              </w:rPr>
              <w:t>FirstSSB_MAX</w:t>
            </w:r>
            <w:r>
              <w:rPr>
                <w:i/>
                <w:lang w:val="en-US" w:eastAsia="zh-CN"/>
              </w:rPr>
              <w:t xml:space="preserve"> + T</w:t>
            </w:r>
            <w:r>
              <w:rPr>
                <w:i/>
                <w:vertAlign w:val="subscript"/>
                <w:lang w:val="en-US" w:eastAsia="zh-CN"/>
              </w:rPr>
              <w:t>SMTC_MAX</w:t>
            </w:r>
            <w:r>
              <w:rPr>
                <w:i/>
                <w:lang w:val="en-US" w:eastAsia="zh-CN"/>
              </w:rPr>
              <w:t xml:space="preserve"> + T</w:t>
            </w:r>
            <w:r>
              <w:rPr>
                <w:i/>
                <w:vertAlign w:val="subscript"/>
                <w:lang w:val="en-US" w:eastAsia="zh-CN"/>
              </w:rPr>
              <w:t>rs</w:t>
            </w:r>
            <w:r>
              <w:rPr>
                <w:i/>
                <w:lang w:val="en-US" w:eastAsia="zh-CN"/>
              </w:rPr>
              <w:t xml:space="preserve"> + T</w:t>
            </w:r>
            <w:r>
              <w:rPr>
                <w:i/>
                <w:vertAlign w:val="subscript"/>
                <w:lang w:val="en-US" w:eastAsia="zh-CN"/>
              </w:rPr>
              <w:t>L1-RSRP,measure</w:t>
            </w:r>
            <w:r>
              <w:rPr>
                <w:i/>
                <w:lang w:val="en-US" w:eastAsia="zh-CN"/>
              </w:rPr>
              <w:t xml:space="preserve"> + T</w:t>
            </w:r>
            <w:r>
              <w:rPr>
                <w:i/>
                <w:vertAlign w:val="subscript"/>
                <w:lang w:val="en-US" w:eastAsia="zh-CN"/>
              </w:rPr>
              <w:t>L1-RSRP,report</w:t>
            </w:r>
            <w:r>
              <w:rPr>
                <w:i/>
                <w:lang w:val="en-US" w:eastAsia="zh-CN"/>
              </w:rPr>
              <w:t xml:space="preserve"> + T</w:t>
            </w:r>
            <w:r>
              <w:rPr>
                <w:i/>
                <w:vertAlign w:val="subscript"/>
                <w:lang w:val="en-US" w:eastAsia="zh-CN"/>
              </w:rPr>
              <w:t>HARQ</w:t>
            </w:r>
            <w:r>
              <w:rPr>
                <w:i/>
                <w:lang w:val="en-US" w:eastAsia="zh-CN"/>
              </w:rPr>
              <w:t xml:space="preserve"> + max(T</w:t>
            </w:r>
            <w:r>
              <w:rPr>
                <w:i/>
                <w:vertAlign w:val="subscript"/>
                <w:lang w:val="en-US" w:eastAsia="zh-CN"/>
              </w:rPr>
              <w:t>uncertainty_MAC</w:t>
            </w:r>
            <w:r>
              <w:rPr>
                <w:i/>
                <w:lang w:val="en-US" w:eastAsia="zh-CN"/>
              </w:rPr>
              <w:t xml:space="preserve"> + T</w:t>
            </w:r>
            <w:r>
              <w:rPr>
                <w:i/>
                <w:vertAlign w:val="subscript"/>
                <w:lang w:val="en-US" w:eastAsia="zh-CN"/>
              </w:rPr>
              <w:t>FineTiming</w:t>
            </w:r>
            <w:r>
              <w:rPr>
                <w:i/>
                <w:lang w:val="en-US" w:eastAsia="zh-CN"/>
              </w:rPr>
              <w:t xml:space="preserve"> + 2ms, T</w:t>
            </w:r>
            <w:r>
              <w:rPr>
                <w:i/>
                <w:vertAlign w:val="subscript"/>
                <w:lang w:val="en-US" w:eastAsia="zh-CN"/>
              </w:rPr>
              <w:t>uncertainty_SP</w:t>
            </w:r>
            <w:r>
              <w:rPr>
                <w:i/>
                <w:lang w:val="en-US" w:eastAsia="zh-CN"/>
              </w:rPr>
              <w:t>), if semi-persistent CSI-RS is used for CSI reporting,</w:t>
            </w:r>
          </w:p>
          <w:p>
            <w:pPr>
              <w:widowControl w:val="0"/>
              <w:adjustRightInd w:val="0"/>
              <w:snapToGrid w:val="0"/>
              <w:spacing w:after="0"/>
              <w:rPr>
                <w:i/>
              </w:rPr>
            </w:pPr>
            <w:r>
              <w:rPr>
                <w:i/>
              </w:rPr>
              <w:t>-</w:t>
            </w:r>
            <w:r>
              <w:rPr>
                <w:i/>
              </w:rPr>
              <w:tab/>
            </w:r>
            <w:r>
              <w:rPr>
                <w:i/>
              </w:rPr>
              <w:t>3ms + T</w:t>
            </w:r>
            <w:r>
              <w:rPr>
                <w:i/>
                <w:vertAlign w:val="subscript"/>
              </w:rPr>
              <w:t>FirstSSB_MAX</w:t>
            </w:r>
            <w:r>
              <w:rPr>
                <w:i/>
              </w:rPr>
              <w:t xml:space="preserve"> + T</w:t>
            </w:r>
            <w:r>
              <w:rPr>
                <w:i/>
                <w:vertAlign w:val="subscript"/>
              </w:rPr>
              <w:t>SMTC_MAX</w:t>
            </w:r>
            <w:r>
              <w:rPr>
                <w:i/>
              </w:rPr>
              <w:t xml:space="preserve"> + T</w:t>
            </w:r>
            <w:r>
              <w:rPr>
                <w:i/>
                <w:vertAlign w:val="subscript"/>
              </w:rPr>
              <w:t>rs</w:t>
            </w:r>
            <w:r>
              <w:rPr>
                <w:i/>
              </w:rPr>
              <w:t xml:space="preserve"> + T</w:t>
            </w:r>
            <w:r>
              <w:rPr>
                <w:i/>
                <w:vertAlign w:val="subscript"/>
              </w:rPr>
              <w:t>L1-RSRP,measure</w:t>
            </w:r>
            <w:r>
              <w:rPr>
                <w:i/>
              </w:rPr>
              <w:t xml:space="preserve"> + T</w:t>
            </w:r>
            <w:r>
              <w:rPr>
                <w:i/>
                <w:vertAlign w:val="subscript"/>
              </w:rPr>
              <w:t>L1-RSRP,report</w:t>
            </w:r>
            <w:r>
              <w:rPr>
                <w:i/>
              </w:rPr>
              <w:t xml:space="preserve"> + max(T</w:t>
            </w:r>
            <w:r>
              <w:rPr>
                <w:i/>
                <w:vertAlign w:val="subscript"/>
              </w:rPr>
              <w:t>HARQ</w:t>
            </w:r>
            <w:r>
              <w:rPr>
                <w:i/>
              </w:rPr>
              <w:t xml:space="preserve"> + T</w:t>
            </w:r>
            <w:r>
              <w:rPr>
                <w:i/>
                <w:vertAlign w:val="subscript"/>
              </w:rPr>
              <w:t>uncertainty_MAC</w:t>
            </w:r>
            <w:r>
              <w:rPr>
                <w:i/>
              </w:rPr>
              <w:t xml:space="preserve"> + 5ms + T</w:t>
            </w:r>
            <w:r>
              <w:rPr>
                <w:i/>
                <w:vertAlign w:val="subscript"/>
              </w:rPr>
              <w:t>FineTiming</w:t>
            </w:r>
            <w:r>
              <w:rPr>
                <w:i/>
              </w:rPr>
              <w:t>, T</w:t>
            </w:r>
            <w:r>
              <w:rPr>
                <w:i/>
                <w:vertAlign w:val="subscript"/>
              </w:rPr>
              <w:t>uncertainty_RRC</w:t>
            </w:r>
            <w:r>
              <w:rPr>
                <w:i/>
              </w:rPr>
              <w:t xml:space="preserve"> + T</w:t>
            </w:r>
            <w:r>
              <w:rPr>
                <w:i/>
                <w:vertAlign w:val="subscript"/>
              </w:rPr>
              <w:t>RRC_delay</w:t>
            </w:r>
            <w:r>
              <w:rPr>
                <w:i/>
              </w:rPr>
              <w:t>), if periodic CSI-RS is used for CSI reporting.</w:t>
            </w:r>
          </w:p>
        </w:tc>
      </w:tr>
    </w:tbl>
    <w:p>
      <w:pPr>
        <w:spacing w:before="157" w:beforeLines="50"/>
        <w:rPr>
          <w:rFonts w:hint="eastAsia" w:eastAsia="宋体"/>
          <w:b/>
          <w:i/>
          <w:sz w:val="22"/>
          <w:highlight w:val="none"/>
          <w:lang w:val="en-US" w:eastAsia="zh-CN"/>
        </w:rPr>
      </w:pPr>
      <w:r>
        <w:rPr>
          <w:rFonts w:hint="eastAsia" w:eastAsiaTheme="minorEastAsia"/>
          <w:b/>
          <w:bCs w:val="0"/>
          <w:i/>
          <w:iCs w:val="0"/>
          <w:sz w:val="22"/>
          <w:highlight w:val="none"/>
          <w:lang w:val="en-US" w:eastAsia="zh-CN"/>
        </w:rPr>
        <w:t xml:space="preserve">Observation1: </w:t>
      </w:r>
      <w:r>
        <w:rPr>
          <w:rFonts w:hint="eastAsia"/>
          <w:b/>
          <w:i/>
          <w:sz w:val="22"/>
          <w:highlight w:val="none"/>
          <w:lang w:val="en-US" w:eastAsia="zh-CN"/>
        </w:rPr>
        <w:t>I</w:t>
      </w:r>
      <w:r>
        <w:rPr>
          <w:rFonts w:hint="eastAsia" w:eastAsia="宋体"/>
          <w:b/>
          <w:i/>
          <w:sz w:val="22"/>
          <w:highlight w:val="none"/>
          <w:lang w:val="en-US" w:eastAsia="zh-CN"/>
        </w:rPr>
        <w:t>f MRTD requirement can be reused for Type 4 UE, the current SCell activation delay requirements for FR1 intra-band non-collocated non-contiguous CA for Type 2 UE and FR1 inter-band CA can also be applied for FR1 intra-band non-collocated non-contiguous CA for Type 4 UE.</w:t>
      </w:r>
    </w:p>
    <w:p>
      <w:pPr>
        <w:spacing w:before="157" w:beforeLines="50"/>
        <w:rPr>
          <w:rFonts w:hint="eastAsia" w:ascii="Arial" w:hAnsi="Arial" w:eastAsia="宋体"/>
          <w:b w:val="0"/>
          <w:kern w:val="0"/>
          <w:sz w:val="22"/>
          <w:szCs w:val="16"/>
          <w:lang w:val="en-US" w:eastAsia="zh-CN"/>
        </w:rPr>
      </w:pPr>
      <w:r>
        <w:rPr>
          <w:rFonts w:hint="eastAsia" w:ascii="Arial" w:hAnsi="Arial"/>
          <w:kern w:val="0"/>
          <w:sz w:val="22"/>
          <w:szCs w:val="16"/>
          <w:lang w:val="en-US" w:eastAsia="zh-CN"/>
        </w:rPr>
        <w:t xml:space="preserve">2.2.2 Interruptions at </w:t>
      </w:r>
      <w:r>
        <w:rPr>
          <w:rFonts w:hint="eastAsia" w:ascii="Arial" w:hAnsi="Arial"/>
          <w:kern w:val="0"/>
          <w:sz w:val="22"/>
          <w:szCs w:val="16"/>
          <w:lang w:eastAsia="zh-CN"/>
        </w:rPr>
        <w:t>SCell addition/release</w:t>
      </w:r>
      <w:r>
        <w:rPr>
          <w:rFonts w:hint="eastAsia" w:ascii="Arial" w:hAnsi="Arial"/>
          <w:kern w:val="0"/>
          <w:sz w:val="22"/>
          <w:szCs w:val="16"/>
          <w:lang w:val="en-US" w:eastAsia="zh-CN"/>
        </w:rPr>
        <w:t>/</w:t>
      </w:r>
      <w:r>
        <w:rPr>
          <w:rFonts w:hint="eastAsia" w:ascii="Arial" w:hAnsi="Arial"/>
          <w:kern w:val="0"/>
          <w:sz w:val="22"/>
          <w:szCs w:val="16"/>
          <w:lang w:eastAsia="zh-CN"/>
        </w:rPr>
        <w:t>activation/deactivation</w:t>
      </w:r>
    </w:p>
    <w:p>
      <w:pPr>
        <w:widowControl/>
        <w:adjustRightInd/>
        <w:snapToGrid/>
        <w:spacing w:before="157" w:beforeLines="50"/>
        <w:rPr>
          <w:rFonts w:eastAsia="宋体"/>
          <w:sz w:val="22"/>
          <w:lang w:eastAsia="zh-CN"/>
        </w:rPr>
      </w:pPr>
      <w:r>
        <w:rPr>
          <w:rFonts w:hint="eastAsia"/>
          <w:sz w:val="22"/>
          <w:lang w:val="en-US" w:eastAsia="zh-CN"/>
        </w:rPr>
        <w:t xml:space="preserve">As to interruptions requirements, </w:t>
      </w:r>
      <w:bookmarkStart w:id="4" w:name="_GoBack"/>
      <w:r>
        <w:rPr>
          <w:rFonts w:eastAsia="宋体"/>
          <w:sz w:val="22"/>
          <w:highlight w:val="none"/>
          <w:lang w:eastAsia="zh-CN"/>
        </w:rPr>
        <w:t xml:space="preserve">separate Rx chains </w:t>
      </w:r>
      <w:bookmarkEnd w:id="4"/>
      <w:r>
        <w:rPr>
          <w:rFonts w:eastAsia="宋体"/>
          <w:sz w:val="22"/>
          <w:highlight w:val="none"/>
          <w:lang w:eastAsia="zh-CN"/>
        </w:rPr>
        <w:t>are assumed</w:t>
      </w:r>
      <w:r>
        <w:rPr>
          <w:rFonts w:hint="eastAsia" w:eastAsia="宋体"/>
          <w:sz w:val="22"/>
          <w:highlight w:val="none"/>
          <w:lang w:val="en-US" w:eastAsia="zh-CN"/>
        </w:rPr>
        <w:t xml:space="preserve"> </w:t>
      </w:r>
      <w:r>
        <w:rPr>
          <w:rFonts w:eastAsia="宋体"/>
          <w:sz w:val="22"/>
          <w:highlight w:val="none"/>
          <w:lang w:eastAsia="zh-CN"/>
        </w:rPr>
        <w:t>For inter-band</w:t>
      </w:r>
      <w:r>
        <w:rPr>
          <w:rFonts w:hint="eastAsia" w:eastAsia="宋体"/>
          <w:sz w:val="22"/>
          <w:highlight w:val="none"/>
          <w:lang w:val="en-US" w:eastAsia="zh-CN"/>
        </w:rPr>
        <w:t xml:space="preserve"> case and intra-band non-collocated </w:t>
      </w:r>
      <w:r>
        <w:rPr>
          <w:rFonts w:hint="eastAsia"/>
          <w:sz w:val="22"/>
          <w:highlight w:val="none"/>
          <w:lang w:val="en-US" w:eastAsia="zh-CN"/>
        </w:rPr>
        <w:t>(</w:t>
      </w:r>
      <w:r>
        <w:rPr>
          <w:rFonts w:hint="eastAsia" w:eastAsia="宋体"/>
          <w:sz w:val="22"/>
          <w:highlight w:val="none"/>
          <w:lang w:val="en-US" w:eastAsia="zh-CN"/>
        </w:rPr>
        <w:t>Type 2 UE</w:t>
      </w:r>
      <w:r>
        <w:rPr>
          <w:rFonts w:hint="eastAsia"/>
          <w:sz w:val="22"/>
          <w:highlight w:val="none"/>
          <w:lang w:val="en-US" w:eastAsia="zh-CN"/>
        </w:rPr>
        <w:t>)</w:t>
      </w:r>
      <w:r>
        <w:rPr>
          <w:rFonts w:eastAsia="宋体"/>
          <w:sz w:val="22"/>
          <w:highlight w:val="none"/>
          <w:lang w:eastAsia="zh-CN"/>
        </w:rPr>
        <w:t xml:space="preserve"> case, and there is no interruption due to AGC settling. For intra-band case</w:t>
      </w:r>
      <w:r>
        <w:rPr>
          <w:rFonts w:hint="eastAsia" w:eastAsia="宋体"/>
          <w:sz w:val="22"/>
          <w:highlight w:val="none"/>
          <w:lang w:val="en-US" w:eastAsia="zh-CN"/>
        </w:rPr>
        <w:t xml:space="preserve"> collocated case</w:t>
      </w:r>
      <w:r>
        <w:rPr>
          <w:rFonts w:eastAsia="宋体"/>
          <w:sz w:val="22"/>
          <w:highlight w:val="none"/>
          <w:lang w:eastAsia="zh-CN"/>
        </w:rPr>
        <w:t>, shared Rx chain is assumed</w:t>
      </w:r>
      <w:r>
        <w:rPr>
          <w:rFonts w:hint="eastAsia" w:eastAsia="宋体"/>
          <w:sz w:val="22"/>
          <w:highlight w:val="none"/>
          <w:lang w:val="en-US" w:eastAsia="zh-CN"/>
        </w:rPr>
        <w:t xml:space="preserve"> </w:t>
      </w:r>
      <w:r>
        <w:rPr>
          <w:rFonts w:eastAsia="宋体"/>
          <w:sz w:val="22"/>
          <w:highlight w:val="none"/>
          <w:lang w:eastAsia="zh-CN"/>
        </w:rPr>
        <w:t xml:space="preserve">and the interruption due to AGC settling is included. </w:t>
      </w:r>
      <w:r>
        <w:rPr>
          <w:rFonts w:eastAsia="宋体"/>
          <w:sz w:val="22"/>
          <w:lang w:eastAsia="zh-CN"/>
        </w:rPr>
        <w:t>In R1</w:t>
      </w:r>
      <w:r>
        <w:rPr>
          <w:rFonts w:hint="eastAsia" w:eastAsia="宋体"/>
          <w:sz w:val="22"/>
          <w:lang w:val="en-US" w:eastAsia="zh-CN"/>
        </w:rPr>
        <w:t>9</w:t>
      </w:r>
      <w:r>
        <w:rPr>
          <w:rFonts w:eastAsia="宋体"/>
          <w:sz w:val="22"/>
          <w:lang w:eastAsia="zh-CN"/>
        </w:rPr>
        <w:t xml:space="preserve">, Type </w:t>
      </w:r>
      <w:r>
        <w:rPr>
          <w:rFonts w:hint="eastAsia" w:eastAsia="宋体"/>
          <w:sz w:val="22"/>
          <w:lang w:val="en-US" w:eastAsia="zh-CN"/>
        </w:rPr>
        <w:t>4</w:t>
      </w:r>
      <w:r>
        <w:rPr>
          <w:rFonts w:eastAsia="宋体"/>
          <w:sz w:val="22"/>
          <w:lang w:eastAsia="zh-CN"/>
        </w:rPr>
        <w:t xml:space="preserve"> UE with separate Rx chains are assumed for </w:t>
      </w:r>
      <w:r>
        <w:rPr>
          <w:rFonts w:hint="eastAsia" w:eastAsia="宋体"/>
          <w:sz w:val="22"/>
          <w:lang w:eastAsia="zh-CN"/>
        </w:rPr>
        <w:t>intra-band</w:t>
      </w:r>
      <w:r>
        <w:rPr>
          <w:rFonts w:eastAsia="宋体"/>
          <w:sz w:val="22"/>
          <w:lang w:eastAsia="zh-CN"/>
        </w:rPr>
        <w:t xml:space="preserve"> non-contiguous case, which is same as the assumption for inter-band case</w:t>
      </w:r>
      <w:r>
        <w:rPr>
          <w:rFonts w:hint="eastAsia" w:eastAsia="宋体"/>
          <w:sz w:val="22"/>
          <w:lang w:val="en-US" w:eastAsia="zh-CN"/>
        </w:rPr>
        <w:t xml:space="preserve"> and intra-band non-collocated for Type 2 UE</w:t>
      </w:r>
      <w:r>
        <w:rPr>
          <w:rFonts w:eastAsia="宋体"/>
          <w:sz w:val="22"/>
          <w:lang w:eastAsia="zh-CN"/>
        </w:rPr>
        <w:t xml:space="preserve">. </w:t>
      </w:r>
      <w:r>
        <w:rPr>
          <w:rFonts w:hint="eastAsia" w:eastAsia="宋体"/>
          <w:sz w:val="22"/>
          <w:lang w:val="en-US" w:eastAsia="zh-CN"/>
        </w:rPr>
        <w:t>Therefore</w:t>
      </w:r>
      <w:r>
        <w:rPr>
          <w:rFonts w:eastAsia="宋体"/>
          <w:sz w:val="22"/>
          <w:lang w:eastAsia="zh-CN"/>
        </w:rPr>
        <w:t xml:space="preserve">, the current interruption requirements for inter-band CA also can be applied for </w:t>
      </w:r>
      <w:r>
        <w:rPr>
          <w:rFonts w:hint="eastAsia" w:eastAsia="宋体"/>
          <w:sz w:val="22"/>
          <w:lang w:val="en-US" w:eastAsia="zh-CN"/>
        </w:rPr>
        <w:t>Type 4 UE</w:t>
      </w:r>
      <w:r>
        <w:rPr>
          <w:rFonts w:eastAsia="宋体"/>
          <w:sz w:val="22"/>
          <w:lang w:eastAsia="zh-CN"/>
        </w:rPr>
        <w:t>.</w:t>
      </w:r>
    </w:p>
    <w:p>
      <w:pPr>
        <w:widowControl w:val="0"/>
        <w:adjustRightInd w:val="0"/>
        <w:snapToGrid w:val="0"/>
        <w:spacing w:before="180"/>
        <w:rPr>
          <w:rFonts w:eastAsia="宋体"/>
          <w:b/>
          <w:i/>
          <w:sz w:val="22"/>
          <w:highlight w:val="none"/>
          <w:lang w:eastAsia="zh-CN"/>
        </w:rPr>
      </w:pPr>
      <w:r>
        <w:rPr>
          <w:rFonts w:hint="eastAsia" w:eastAsia="宋体"/>
          <w:b/>
          <w:i/>
          <w:sz w:val="22"/>
          <w:highlight w:val="none"/>
          <w:lang w:eastAsia="zh-CN"/>
        </w:rPr>
        <w:t>P</w:t>
      </w:r>
      <w:r>
        <w:rPr>
          <w:rFonts w:eastAsia="宋体"/>
          <w:b/>
          <w:i/>
          <w:sz w:val="22"/>
          <w:highlight w:val="none"/>
          <w:lang w:eastAsia="zh-CN"/>
        </w:rPr>
        <w:t xml:space="preserve">roposal 2: The existing interruptions requirements as SCell addition/release/ activation/deactivation in FR1 for FR1 inter-band CA can be applied for FR1 intra-band non-contiguous CA supporting non-collocated deployment for </w:t>
      </w:r>
      <w:r>
        <w:rPr>
          <w:rFonts w:hint="eastAsia" w:eastAsia="宋体"/>
          <w:b/>
          <w:i/>
          <w:sz w:val="22"/>
          <w:highlight w:val="none"/>
          <w:lang w:val="en-US" w:eastAsia="zh-CN"/>
        </w:rPr>
        <w:t>4</w:t>
      </w:r>
      <w:r>
        <w:rPr>
          <w:rFonts w:eastAsia="宋体"/>
          <w:b/>
          <w:i/>
          <w:sz w:val="22"/>
          <w:highlight w:val="none"/>
          <w:lang w:eastAsia="zh-CN"/>
        </w:rPr>
        <w:t>-layer MIMO case.</w:t>
      </w:r>
    </w:p>
    <w:p>
      <w:pPr>
        <w:pStyle w:val="4"/>
        <w:numPr>
          <w:ilvl w:val="0"/>
          <w:numId w:val="0"/>
        </w:numPr>
        <w:rPr>
          <w:rFonts w:hint="eastAsia"/>
          <w:sz w:val="22"/>
          <w:szCs w:val="16"/>
          <w:lang w:val="en-US" w:eastAsia="zh-CN"/>
        </w:rPr>
      </w:pPr>
      <w:r>
        <w:rPr>
          <w:rFonts w:hint="eastAsia"/>
          <w:sz w:val="22"/>
          <w:szCs w:val="16"/>
          <w:lang w:val="en-US" w:eastAsia="zh-CN"/>
        </w:rPr>
        <w:t>2.2.3 SCell BFD requirements</w:t>
      </w:r>
    </w:p>
    <w:p>
      <w:pPr>
        <w:widowControl/>
        <w:adjustRightInd/>
        <w:snapToGrid/>
        <w:spacing w:before="157" w:beforeLines="50"/>
        <w:rPr>
          <w:rFonts w:hint="eastAsia" w:eastAsia="宋体"/>
          <w:sz w:val="22"/>
          <w:lang w:val="en-US" w:eastAsia="zh-CN"/>
        </w:rPr>
      </w:pPr>
      <w:r>
        <w:rPr>
          <w:rFonts w:hint="eastAsia" w:eastAsia="宋体"/>
          <w:b w:val="0"/>
          <w:i w:val="0"/>
          <w:color w:val="auto"/>
          <w:sz w:val="22"/>
          <w:lang w:val="en-US" w:eastAsia="zh-CN"/>
        </w:rPr>
        <w:t xml:space="preserve">Similar as Type2 UE, we should revised BFD/CBD measurements requirements for FR1 intra-band non-contiguous CA supporting non-collocated deployment for 4-layer MIMO case. As mentioned in previous meeting, </w:t>
      </w:r>
      <w:r>
        <w:rPr>
          <w:rFonts w:hint="eastAsia" w:eastAsia="宋体"/>
          <w:sz w:val="22"/>
          <w:lang w:val="en-US" w:eastAsia="zh-CN"/>
        </w:rPr>
        <w:t>i</w:t>
      </w:r>
      <w:r>
        <w:rPr>
          <w:rFonts w:eastAsia="宋体"/>
          <w:sz w:val="22"/>
          <w:lang w:eastAsia="zh-CN"/>
        </w:rPr>
        <w:t>t is assumed that the serving cells in the same band have the similar link quality in co-located deploymen</w:t>
      </w:r>
      <w:r>
        <w:rPr>
          <w:rFonts w:hint="eastAsia" w:eastAsia="宋体"/>
          <w:sz w:val="22"/>
          <w:lang w:val="en-US" w:eastAsia="zh-CN"/>
        </w:rPr>
        <w:t xml:space="preserve"> f</w:t>
      </w:r>
      <w:r>
        <w:rPr>
          <w:rFonts w:eastAsia="宋体"/>
          <w:sz w:val="22"/>
          <w:lang w:eastAsia="zh-CN"/>
        </w:rPr>
        <w:t xml:space="preserve">or link recovery procedure, </w:t>
      </w:r>
      <w:r>
        <w:rPr>
          <w:rFonts w:hint="eastAsia" w:eastAsia="宋体"/>
          <w:sz w:val="22"/>
          <w:lang w:val="en-US" w:eastAsia="zh-CN"/>
        </w:rPr>
        <w:t xml:space="preserve">and </w:t>
      </w:r>
      <w:r>
        <w:rPr>
          <w:rFonts w:eastAsia="宋体"/>
          <w:sz w:val="22"/>
          <w:lang w:eastAsia="zh-CN"/>
        </w:rPr>
        <w:t>the link qualities of serving cells in the same band could be different</w:t>
      </w:r>
      <w:r>
        <w:rPr>
          <w:rFonts w:hint="eastAsia" w:eastAsia="宋体"/>
          <w:sz w:val="22"/>
          <w:lang w:val="en-US" w:eastAsia="zh-CN"/>
        </w:rPr>
        <w:t xml:space="preserve"> </w:t>
      </w:r>
      <w:r>
        <w:rPr>
          <w:rFonts w:eastAsia="宋体"/>
          <w:sz w:val="22"/>
          <w:lang w:eastAsia="zh-CN"/>
        </w:rPr>
        <w:t xml:space="preserve">for Type 2 UE in non-collocated deployment. </w:t>
      </w:r>
      <w:r>
        <w:rPr>
          <w:rFonts w:hint="eastAsia" w:eastAsia="宋体"/>
          <w:sz w:val="22"/>
          <w:lang w:val="en-US" w:eastAsia="zh-CN"/>
        </w:rPr>
        <w:t>Consequently, t</w:t>
      </w:r>
      <w:r>
        <w:rPr>
          <w:rFonts w:eastAsia="宋体"/>
          <w:sz w:val="22"/>
          <w:lang w:eastAsia="zh-CN"/>
        </w:rPr>
        <w:t>here is no need to limit BFD/CBD requirements only on one serving cell.</w:t>
      </w:r>
      <w:r>
        <w:rPr>
          <w:rFonts w:hint="eastAsia" w:eastAsia="宋体"/>
          <w:sz w:val="22"/>
          <w:lang w:val="en-US" w:eastAsia="zh-CN"/>
        </w:rPr>
        <w:t xml:space="preserve"> The same principle can be applied to type4 UE.</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tcPr>
          <w:p>
            <w:pPr>
              <w:pStyle w:val="33"/>
              <w:numPr>
                <w:ilvl w:val="1"/>
                <w:numId w:val="7"/>
              </w:numPr>
              <w:overflowPunct w:val="0"/>
              <w:autoSpaceDE w:val="0"/>
              <w:autoSpaceDN w:val="0"/>
              <w:adjustRightInd w:val="0"/>
              <w:spacing w:line="252" w:lineRule="auto"/>
              <w:rPr>
                <w:lang w:val="en-US"/>
              </w:rPr>
            </w:pPr>
            <w:r>
              <w:rPr>
                <w:highlight w:val="green"/>
                <w:lang w:eastAsia="ja-JP"/>
              </w:rPr>
              <w:t>For non-collocated FR1 intra-band non-contiguous CA, Type 2 UE can be configured with BFD/CBD measurements on up to two serving cells in the same band</w:t>
            </w:r>
          </w:p>
        </w:tc>
      </w:tr>
    </w:tbl>
    <w:p>
      <w:pPr>
        <w:adjustRightInd w:val="0"/>
        <w:snapToGrid w:val="0"/>
        <w:spacing w:before="180" w:beforeLines="-2147483648"/>
        <w:rPr>
          <w:rFonts w:hint="default"/>
          <w:sz w:val="22"/>
          <w:highlight w:val="none"/>
          <w:lang w:val="en-US" w:eastAsia="zh-CN"/>
        </w:rPr>
      </w:pPr>
      <w:r>
        <w:rPr>
          <w:rFonts w:hint="eastAsia" w:eastAsia="宋体"/>
          <w:b/>
          <w:i/>
          <w:sz w:val="22"/>
          <w:highlight w:val="none"/>
          <w:lang w:eastAsia="zh-CN"/>
        </w:rPr>
        <w:t>P</w:t>
      </w:r>
      <w:r>
        <w:rPr>
          <w:rFonts w:eastAsia="宋体"/>
          <w:b/>
          <w:i/>
          <w:sz w:val="22"/>
          <w:highlight w:val="none"/>
          <w:lang w:eastAsia="zh-CN"/>
        </w:rPr>
        <w:t xml:space="preserve">roposal </w:t>
      </w:r>
      <w:r>
        <w:rPr>
          <w:rFonts w:hint="eastAsia" w:eastAsia="宋体"/>
          <w:b/>
          <w:i/>
          <w:sz w:val="22"/>
          <w:highlight w:val="none"/>
          <w:lang w:val="en-US" w:eastAsia="zh-CN"/>
        </w:rPr>
        <w:t>3</w:t>
      </w:r>
      <w:r>
        <w:rPr>
          <w:rFonts w:eastAsia="宋体"/>
          <w:b/>
          <w:i/>
          <w:sz w:val="22"/>
          <w:highlight w:val="none"/>
          <w:lang w:eastAsia="zh-CN"/>
        </w:rPr>
        <w:t xml:space="preserve">: It is suggested that Type </w:t>
      </w:r>
      <w:r>
        <w:rPr>
          <w:rFonts w:hint="eastAsia" w:eastAsia="宋体"/>
          <w:b/>
          <w:i/>
          <w:sz w:val="22"/>
          <w:highlight w:val="none"/>
          <w:lang w:val="en-US" w:eastAsia="zh-CN"/>
        </w:rPr>
        <w:t>4</w:t>
      </w:r>
      <w:r>
        <w:rPr>
          <w:rFonts w:eastAsia="宋体"/>
          <w:b/>
          <w:i/>
          <w:sz w:val="22"/>
          <w:highlight w:val="none"/>
          <w:lang w:eastAsia="zh-CN"/>
        </w:rPr>
        <w:t xml:space="preserve"> UE can be configured with BFD/CBD measurements on more than one serving cells in the same band.</w:t>
      </w:r>
    </w:p>
    <w:p>
      <w:pPr>
        <w:pStyle w:val="3"/>
        <w:rPr>
          <w:rFonts w:eastAsia="宋体"/>
          <w:color w:val="auto"/>
          <w:sz w:val="22"/>
          <w:lang w:eastAsia="zh-CN"/>
        </w:rPr>
      </w:pPr>
      <w:r>
        <w:rPr>
          <w:rFonts w:hint="eastAsia"/>
          <w:sz w:val="22"/>
          <w:lang w:val="en-US" w:eastAsia="zh-CN"/>
        </w:rPr>
        <w:t>2.3</w:t>
      </w:r>
      <w:r>
        <w:rPr>
          <w:rFonts w:hint="eastAsia"/>
          <w:color w:val="auto"/>
          <w:sz w:val="22"/>
          <w:lang w:val="en-US" w:eastAsia="zh-CN"/>
        </w:rPr>
        <w:t xml:space="preserve"> </w:t>
      </w:r>
      <w:r>
        <w:rPr>
          <w:rFonts w:hint="eastAsia" w:eastAsia="宋体"/>
          <w:color w:val="auto"/>
          <w:sz w:val="22"/>
          <w:lang w:val="en-US" w:eastAsia="zh-CN"/>
        </w:rPr>
        <w:t>S</w:t>
      </w:r>
      <w:r>
        <w:rPr>
          <w:rFonts w:eastAsia="宋体"/>
          <w:color w:val="auto"/>
          <w:sz w:val="22"/>
          <w:lang w:eastAsia="zh-CN"/>
        </w:rPr>
        <w:t>cheduling availability requirements</w:t>
      </w:r>
    </w:p>
    <w:p>
      <w:pPr>
        <w:widowControl w:val="0"/>
        <w:adjustRightInd w:val="0"/>
        <w:snapToGrid w:val="0"/>
        <w:spacing w:before="180"/>
        <w:rPr>
          <w:rFonts w:eastAsia="宋体"/>
          <w:sz w:val="22"/>
          <w:lang w:eastAsia="zh-CN"/>
        </w:rPr>
      </w:pPr>
      <w:r>
        <w:rPr>
          <w:rFonts w:hint="eastAsia" w:eastAsia="宋体"/>
          <w:color w:val="auto"/>
          <w:sz w:val="22"/>
          <w:lang w:eastAsia="zh-CN"/>
        </w:rPr>
        <w:t>F</w:t>
      </w:r>
      <w:r>
        <w:rPr>
          <w:rFonts w:eastAsia="宋体"/>
          <w:color w:val="auto"/>
          <w:sz w:val="22"/>
          <w:lang w:eastAsia="zh-CN"/>
        </w:rPr>
        <w:t xml:space="preserve">or current scheduling availability requirements, </w:t>
      </w:r>
      <w:r>
        <w:rPr>
          <w:rFonts w:eastAsia="宋体"/>
          <w:sz w:val="22"/>
          <w:highlight w:val="none"/>
          <w:lang w:eastAsia="zh-CN"/>
        </w:rPr>
        <w:t>the scheduling restrictions on one FR1 serving cell shall also apply to other serving cells in the same band based on the assumption that shared Rx chain is used for intra-band CA, and there is no scheduling restrictions on serving cells in other bands based on the assumption that separate Rx chains are used for inter-band CA</w:t>
      </w:r>
      <w:r>
        <w:rPr>
          <w:rFonts w:hint="eastAsia" w:eastAsia="宋体"/>
          <w:sz w:val="22"/>
          <w:highlight w:val="none"/>
          <w:lang w:val="en-US" w:eastAsia="zh-CN"/>
        </w:rPr>
        <w:t xml:space="preserve"> or intra-band CA</w:t>
      </w:r>
      <w:r>
        <w:rPr>
          <w:rFonts w:eastAsia="宋体"/>
          <w:sz w:val="22"/>
          <w:highlight w:val="none"/>
          <w:lang w:eastAsia="zh-CN"/>
        </w:rPr>
        <w:t>.</w:t>
      </w:r>
      <w:r>
        <w:rPr>
          <w:rFonts w:eastAsia="宋体"/>
          <w:sz w:val="22"/>
          <w:lang w:eastAsia="zh-CN"/>
        </w:rPr>
        <w:t xml:space="preserve"> </w:t>
      </w:r>
      <w:r>
        <w:rPr>
          <w:rFonts w:hint="eastAsia" w:eastAsia="宋体"/>
          <w:sz w:val="22"/>
          <w:lang w:eastAsia="zh-CN"/>
        </w:rPr>
        <w:t>D</w:t>
      </w:r>
      <w:r>
        <w:rPr>
          <w:rFonts w:eastAsia="宋体"/>
          <w:sz w:val="22"/>
          <w:lang w:eastAsia="zh-CN"/>
        </w:rPr>
        <w:t>ue to separate Rx chains assumed for intra-band non-contiguous CA for supporting non-collocated deployment, there is no scheduling restrictions on non-contiguous serving cells in the same band.</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631" w:type="dxa"/>
          </w:tcPr>
          <w:p>
            <w:pPr>
              <w:pStyle w:val="33"/>
              <w:numPr>
                <w:ilvl w:val="1"/>
                <w:numId w:val="6"/>
              </w:numPr>
              <w:rPr>
                <w:lang w:val="en-US"/>
              </w:rPr>
            </w:pPr>
            <w:r>
              <w:rPr>
                <w:highlight w:val="green"/>
              </w:rPr>
              <w:t>For Type 2 UE with FR1 intra-band CA, there are no scheduling restrictions on carriers in the same band</w:t>
            </w:r>
            <w:r>
              <w:rPr>
                <w:color w:val="000000" w:themeColor="text1"/>
                <w:highlight w:val="green"/>
                <w14:textFill>
                  <w14:solidFill>
                    <w14:schemeClr w14:val="tx1"/>
                  </w14:solidFill>
                </w14:textFill>
              </w:rPr>
              <w:t>.</w:t>
            </w:r>
          </w:p>
        </w:tc>
      </w:tr>
    </w:tbl>
    <w:p>
      <w:pPr>
        <w:widowControl w:val="0"/>
        <w:adjustRightInd w:val="0"/>
        <w:snapToGrid w:val="0"/>
        <w:spacing w:before="180"/>
        <w:rPr>
          <w:rFonts w:eastAsia="宋体"/>
          <w:b/>
          <w:i/>
          <w:sz w:val="22"/>
          <w:highlight w:val="none"/>
          <w:lang w:eastAsia="zh-CN"/>
        </w:rPr>
      </w:pPr>
      <w:r>
        <w:rPr>
          <w:rFonts w:hint="eastAsia" w:eastAsia="宋体"/>
          <w:b/>
          <w:i/>
          <w:sz w:val="22"/>
          <w:highlight w:val="none"/>
          <w:lang w:eastAsia="zh-CN"/>
        </w:rPr>
        <w:t>P</w:t>
      </w:r>
      <w:r>
        <w:rPr>
          <w:rFonts w:eastAsia="宋体"/>
          <w:b/>
          <w:i/>
          <w:sz w:val="22"/>
          <w:highlight w:val="none"/>
          <w:lang w:eastAsia="zh-CN"/>
        </w:rPr>
        <w:t xml:space="preserve">roposal </w:t>
      </w:r>
      <w:r>
        <w:rPr>
          <w:rFonts w:hint="eastAsia" w:eastAsia="宋体"/>
          <w:b/>
          <w:i/>
          <w:sz w:val="22"/>
          <w:highlight w:val="none"/>
          <w:lang w:val="en-US" w:eastAsia="zh-CN"/>
        </w:rPr>
        <w:t>4</w:t>
      </w:r>
      <w:r>
        <w:rPr>
          <w:rFonts w:eastAsia="宋体"/>
          <w:b/>
          <w:i/>
          <w:sz w:val="22"/>
          <w:highlight w:val="none"/>
          <w:lang w:eastAsia="zh-CN"/>
        </w:rPr>
        <w:t xml:space="preserve">: For Type </w:t>
      </w:r>
      <w:r>
        <w:rPr>
          <w:rFonts w:hint="eastAsia" w:eastAsia="宋体"/>
          <w:b/>
          <w:i/>
          <w:sz w:val="22"/>
          <w:highlight w:val="none"/>
          <w:lang w:val="en-US" w:eastAsia="zh-CN"/>
        </w:rPr>
        <w:t>4</w:t>
      </w:r>
      <w:r>
        <w:rPr>
          <w:rFonts w:eastAsia="宋体"/>
          <w:b/>
          <w:i/>
          <w:sz w:val="22"/>
          <w:highlight w:val="none"/>
          <w:lang w:eastAsia="zh-CN"/>
        </w:rPr>
        <w:t xml:space="preserve"> UE with FR1 intra-band CA, there are no scheduling restrictions on carriers in the same band.</w:t>
      </w:r>
    </w:p>
    <w:p>
      <w:pPr>
        <w:pStyle w:val="54"/>
        <w:tabs>
          <w:tab w:val="left" w:pos="323"/>
          <w:tab w:val="left" w:pos="567"/>
          <w:tab w:val="clear" w:pos="1985"/>
        </w:tabs>
        <w:adjustRightInd w:val="0"/>
        <w:ind w:left="510" w:hanging="510"/>
      </w:pPr>
      <w:r>
        <w:rPr>
          <w:rFonts w:hint="eastAsia"/>
          <w:lang w:eastAsia="zh-CN"/>
        </w:rPr>
        <w:tab/>
      </w:r>
      <w:r>
        <w:t>Conclusions</w:t>
      </w:r>
    </w:p>
    <w:p>
      <w:pPr>
        <w:rPr>
          <w:rFonts w:hint="eastAsia" w:ascii="Times New Roman" w:hAnsi="Times New Roman" w:eastAsia="宋体" w:cs="Times New Roman"/>
          <w:b w:val="0"/>
          <w:bCs w:val="0"/>
          <w:sz w:val="21"/>
          <w:szCs w:val="21"/>
          <w:lang w:val="en-US" w:eastAsia="zh-CN"/>
        </w:rPr>
      </w:pPr>
      <w:r>
        <w:rPr>
          <w:rFonts w:hint="default" w:ascii="Times New Roman" w:hAnsi="Times New Roman" w:cs="Times New Roman"/>
          <w:sz w:val="21"/>
          <w:szCs w:val="21"/>
          <w:lang w:val="en-CA"/>
        </w:rPr>
        <w:t>In this contribution</w:t>
      </w:r>
      <w:r>
        <w:rPr>
          <w:rFonts w:hint="default" w:ascii="Times New Roman" w:hAnsi="Times New Roman" w:cs="Times New Roman"/>
          <w:b/>
          <w:bCs/>
          <w:sz w:val="21"/>
          <w:szCs w:val="21"/>
        </w:rPr>
        <w:t xml:space="preserve">, </w:t>
      </w:r>
      <w:r>
        <w:rPr>
          <w:rFonts w:hint="default" w:ascii="Times New Roman" w:hAnsi="Times New Roman" w:cs="Times New Roman"/>
          <w:b w:val="0"/>
          <w:bCs w:val="0"/>
          <w:sz w:val="21"/>
          <w:szCs w:val="21"/>
        </w:rPr>
        <w:t>we put forward the following proposal</w:t>
      </w:r>
      <w:r>
        <w:rPr>
          <w:rFonts w:hint="default" w:ascii="Times New Roman" w:hAnsi="Times New Roman" w:cs="Times New Roman"/>
          <w:b w:val="0"/>
          <w:bCs w:val="0"/>
          <w:sz w:val="21"/>
          <w:szCs w:val="21"/>
          <w:lang w:val="en-US" w:eastAsia="en-US"/>
        </w:rPr>
        <w:t>s</w:t>
      </w:r>
      <w:r>
        <w:rPr>
          <w:rFonts w:hint="eastAsia" w:cs="Times New Roman"/>
          <w:b w:val="0"/>
          <w:bCs w:val="0"/>
          <w:sz w:val="21"/>
          <w:szCs w:val="21"/>
          <w:lang w:val="en-US" w:eastAsia="zh-CN"/>
        </w:rPr>
        <w:t>:</w:t>
      </w:r>
    </w:p>
    <w:p>
      <w:pPr>
        <w:spacing w:before="157" w:beforeLines="50"/>
        <w:rPr>
          <w:rFonts w:eastAsiaTheme="minorEastAsia"/>
          <w:b/>
          <w:i/>
          <w:sz w:val="22"/>
          <w:highlight w:val="none"/>
          <w:lang w:val="en-US" w:eastAsia="zh-CN"/>
        </w:rPr>
      </w:pPr>
      <w:r>
        <w:rPr>
          <w:rFonts w:hint="default" w:eastAsiaTheme="minorEastAsia"/>
          <w:b/>
          <w:i/>
          <w:sz w:val="22"/>
          <w:szCs w:val="22"/>
          <w:highlight w:val="none"/>
          <w:lang w:val="en-US" w:eastAsia="zh-CN"/>
        </w:rPr>
        <w:t xml:space="preserve">Proposal 1: </w:t>
      </w:r>
      <w:r>
        <w:rPr>
          <w:rFonts w:eastAsiaTheme="minorEastAsia"/>
          <w:b/>
          <w:i/>
          <w:sz w:val="22"/>
          <w:highlight w:val="none"/>
          <w:lang w:val="en-US" w:eastAsia="zh-CN"/>
        </w:rPr>
        <w:t xml:space="preserve">For </w:t>
      </w:r>
      <w:r>
        <w:rPr>
          <w:rFonts w:hint="eastAsia" w:eastAsiaTheme="minorEastAsia"/>
          <w:b/>
          <w:i/>
          <w:sz w:val="22"/>
          <w:highlight w:val="none"/>
          <w:lang w:val="en-US" w:eastAsia="zh-CN"/>
        </w:rPr>
        <w:t>4</w:t>
      </w:r>
      <w:r>
        <w:rPr>
          <w:rFonts w:eastAsiaTheme="minorEastAsia"/>
          <w:b/>
          <w:i/>
          <w:sz w:val="22"/>
          <w:highlight w:val="none"/>
          <w:lang w:val="en-US" w:eastAsia="zh-CN"/>
        </w:rPr>
        <w:t xml:space="preserve"> layer MIMO case, the existing MRTD/MTTD requirements defined in 38.133 for inter-band case can be reused for intra-band EN-DC/NR-CA in non-collocated deployment.</w:t>
      </w:r>
    </w:p>
    <w:p>
      <w:pPr>
        <w:spacing w:before="157" w:beforeLines="50"/>
        <w:rPr>
          <w:rFonts w:hint="eastAsia" w:eastAsia="宋体"/>
          <w:b/>
          <w:i/>
          <w:sz w:val="22"/>
          <w:highlight w:val="none"/>
          <w:lang w:val="en-US" w:eastAsia="zh-CN"/>
        </w:rPr>
      </w:pPr>
      <w:r>
        <w:rPr>
          <w:rFonts w:hint="eastAsia" w:eastAsiaTheme="minorEastAsia"/>
          <w:b/>
          <w:bCs w:val="0"/>
          <w:i/>
          <w:iCs w:val="0"/>
          <w:sz w:val="22"/>
          <w:highlight w:val="none"/>
          <w:lang w:val="en-US" w:eastAsia="zh-CN"/>
        </w:rPr>
        <w:t xml:space="preserve">Observation1: </w:t>
      </w:r>
      <w:r>
        <w:rPr>
          <w:rFonts w:hint="eastAsia"/>
          <w:b/>
          <w:i/>
          <w:sz w:val="22"/>
          <w:highlight w:val="none"/>
          <w:lang w:val="en-US" w:eastAsia="zh-CN"/>
        </w:rPr>
        <w:t>I</w:t>
      </w:r>
      <w:r>
        <w:rPr>
          <w:rFonts w:hint="eastAsia" w:eastAsia="宋体"/>
          <w:b/>
          <w:i/>
          <w:sz w:val="22"/>
          <w:highlight w:val="none"/>
          <w:lang w:val="en-US" w:eastAsia="zh-CN"/>
        </w:rPr>
        <w:t>f MRTD requirement can be reused for Type 4 UE, the current SCell activation delay requirements for FR1 intra-band non-collocated non-contiguous CA for Type 2 UE and FR1 inter-band CA can also be applied for FR1 intra-band non-collocated non-contiguous CA for Type 4 UE.</w:t>
      </w:r>
    </w:p>
    <w:p>
      <w:pPr>
        <w:widowControl w:val="0"/>
        <w:adjustRightInd w:val="0"/>
        <w:snapToGrid w:val="0"/>
        <w:spacing w:before="180"/>
        <w:rPr>
          <w:rFonts w:eastAsia="宋体"/>
          <w:b/>
          <w:i/>
          <w:sz w:val="22"/>
          <w:highlight w:val="none"/>
          <w:lang w:eastAsia="zh-CN"/>
        </w:rPr>
      </w:pPr>
      <w:r>
        <w:rPr>
          <w:rFonts w:hint="eastAsia" w:eastAsia="宋体"/>
          <w:b/>
          <w:i/>
          <w:sz w:val="22"/>
          <w:highlight w:val="none"/>
          <w:lang w:eastAsia="zh-CN"/>
        </w:rPr>
        <w:t>P</w:t>
      </w:r>
      <w:r>
        <w:rPr>
          <w:rFonts w:eastAsia="宋体"/>
          <w:b/>
          <w:i/>
          <w:sz w:val="22"/>
          <w:highlight w:val="none"/>
          <w:lang w:eastAsia="zh-CN"/>
        </w:rPr>
        <w:t xml:space="preserve">roposal 2: The existing interruptions requirements as SCell addition/release/ activation/deactivation in FR1 for FR1 inter-band CA can be applied for FR1 intra-band non-contiguous CA supporting non-collocated deployment for </w:t>
      </w:r>
      <w:r>
        <w:rPr>
          <w:rFonts w:hint="eastAsia" w:eastAsia="宋体"/>
          <w:b/>
          <w:i/>
          <w:sz w:val="22"/>
          <w:highlight w:val="none"/>
          <w:lang w:val="en-US" w:eastAsia="zh-CN"/>
        </w:rPr>
        <w:t>4</w:t>
      </w:r>
      <w:r>
        <w:rPr>
          <w:rFonts w:eastAsia="宋体"/>
          <w:b/>
          <w:i/>
          <w:sz w:val="22"/>
          <w:highlight w:val="none"/>
          <w:lang w:eastAsia="zh-CN"/>
        </w:rPr>
        <w:t>-layer MIMO case.</w:t>
      </w:r>
    </w:p>
    <w:p>
      <w:pPr>
        <w:adjustRightInd w:val="0"/>
        <w:snapToGrid w:val="0"/>
        <w:spacing w:before="180" w:beforeLines="-2147483648"/>
        <w:rPr>
          <w:rFonts w:hint="default"/>
          <w:sz w:val="22"/>
          <w:highlight w:val="none"/>
          <w:lang w:val="en-US" w:eastAsia="zh-CN"/>
        </w:rPr>
      </w:pPr>
      <w:r>
        <w:rPr>
          <w:rFonts w:hint="eastAsia" w:eastAsia="宋体"/>
          <w:b/>
          <w:i/>
          <w:sz w:val="22"/>
          <w:highlight w:val="none"/>
          <w:lang w:eastAsia="zh-CN"/>
        </w:rPr>
        <w:t>P</w:t>
      </w:r>
      <w:r>
        <w:rPr>
          <w:rFonts w:eastAsia="宋体"/>
          <w:b/>
          <w:i/>
          <w:sz w:val="22"/>
          <w:highlight w:val="none"/>
          <w:lang w:eastAsia="zh-CN"/>
        </w:rPr>
        <w:t xml:space="preserve">roposal </w:t>
      </w:r>
      <w:r>
        <w:rPr>
          <w:rFonts w:hint="eastAsia" w:eastAsia="宋体"/>
          <w:b/>
          <w:i/>
          <w:sz w:val="22"/>
          <w:highlight w:val="none"/>
          <w:lang w:val="en-US" w:eastAsia="zh-CN"/>
        </w:rPr>
        <w:t>3</w:t>
      </w:r>
      <w:r>
        <w:rPr>
          <w:rFonts w:eastAsia="宋体"/>
          <w:b/>
          <w:i/>
          <w:sz w:val="22"/>
          <w:highlight w:val="none"/>
          <w:lang w:eastAsia="zh-CN"/>
        </w:rPr>
        <w:t xml:space="preserve">: It is suggested that Type </w:t>
      </w:r>
      <w:r>
        <w:rPr>
          <w:rFonts w:hint="eastAsia" w:eastAsia="宋体"/>
          <w:b/>
          <w:i/>
          <w:sz w:val="22"/>
          <w:highlight w:val="none"/>
          <w:lang w:val="en-US" w:eastAsia="zh-CN"/>
        </w:rPr>
        <w:t>4</w:t>
      </w:r>
      <w:r>
        <w:rPr>
          <w:rFonts w:eastAsia="宋体"/>
          <w:b/>
          <w:i/>
          <w:sz w:val="22"/>
          <w:highlight w:val="none"/>
          <w:lang w:eastAsia="zh-CN"/>
        </w:rPr>
        <w:t xml:space="preserve"> UE can be configured with BFD/CBD measurements on more than one serving cells in the same band.</w:t>
      </w:r>
    </w:p>
    <w:p>
      <w:pPr>
        <w:adjustRightInd w:val="0"/>
        <w:snapToGrid w:val="0"/>
        <w:spacing w:before="180" w:beforeLines="-2147483648"/>
        <w:rPr>
          <w:rFonts w:eastAsiaTheme="minorEastAsia"/>
          <w:b/>
          <w:i/>
          <w:sz w:val="22"/>
          <w:highlight w:val="none"/>
          <w:lang w:val="en-US" w:eastAsia="zh-CN"/>
        </w:rPr>
      </w:pPr>
      <w:r>
        <w:rPr>
          <w:rFonts w:hint="eastAsia" w:eastAsia="宋体"/>
          <w:b/>
          <w:i/>
          <w:sz w:val="22"/>
          <w:highlight w:val="none"/>
          <w:lang w:eastAsia="zh-CN"/>
        </w:rPr>
        <w:t>P</w:t>
      </w:r>
      <w:r>
        <w:rPr>
          <w:rFonts w:eastAsia="宋体"/>
          <w:b/>
          <w:i/>
          <w:sz w:val="22"/>
          <w:highlight w:val="none"/>
          <w:lang w:eastAsia="zh-CN"/>
        </w:rPr>
        <w:t xml:space="preserve">roposal </w:t>
      </w:r>
      <w:r>
        <w:rPr>
          <w:rFonts w:hint="eastAsia" w:eastAsia="宋体"/>
          <w:b/>
          <w:i/>
          <w:sz w:val="22"/>
          <w:highlight w:val="none"/>
          <w:lang w:val="en-US" w:eastAsia="zh-CN"/>
        </w:rPr>
        <w:t>4</w:t>
      </w:r>
      <w:r>
        <w:rPr>
          <w:rFonts w:eastAsia="宋体"/>
          <w:b/>
          <w:i/>
          <w:sz w:val="22"/>
          <w:highlight w:val="none"/>
          <w:lang w:eastAsia="zh-CN"/>
        </w:rPr>
        <w:t xml:space="preserve">: For Type </w:t>
      </w:r>
      <w:r>
        <w:rPr>
          <w:rFonts w:hint="eastAsia" w:eastAsia="宋体"/>
          <w:b/>
          <w:i/>
          <w:sz w:val="22"/>
          <w:highlight w:val="none"/>
          <w:lang w:val="en-US" w:eastAsia="zh-CN"/>
        </w:rPr>
        <w:t>4</w:t>
      </w:r>
      <w:r>
        <w:rPr>
          <w:rFonts w:eastAsia="宋体"/>
          <w:b/>
          <w:i/>
          <w:sz w:val="22"/>
          <w:highlight w:val="none"/>
          <w:lang w:eastAsia="zh-CN"/>
        </w:rPr>
        <w:t xml:space="preserve"> UE with FR1 intra-band CA, there are no scheduling restrictions on carriers in the same band.</w:t>
      </w:r>
    </w:p>
    <w:p>
      <w:pPr>
        <w:pStyle w:val="54"/>
        <w:tabs>
          <w:tab w:val="left" w:pos="567"/>
          <w:tab w:val="clear" w:pos="1985"/>
        </w:tabs>
        <w:adjustRightInd w:val="0"/>
        <w:ind w:left="510" w:hanging="510"/>
      </w:pPr>
      <w:r>
        <w:t>References</w:t>
      </w:r>
    </w:p>
    <w:p>
      <w:pPr>
        <w:numPr>
          <w:ilvl w:val="0"/>
          <w:numId w:val="8"/>
        </w:numPr>
      </w:pPr>
      <w:r>
        <w:rPr>
          <w:rFonts w:eastAsia="宋体"/>
          <w:sz w:val="22"/>
          <w:lang w:eastAsia="zh-CN"/>
        </w:rPr>
        <w:t xml:space="preserve">RP-240838, New WID on Support of intra-band non-collocated EN-DC/NR-CA, </w:t>
      </w:r>
      <w:r>
        <w:rPr>
          <w:rFonts w:hint="eastAsia" w:eastAsia="宋体"/>
          <w:sz w:val="22"/>
          <w:lang w:eastAsia="zh-CN"/>
        </w:rPr>
        <w:t>Moderator (Apple)</w:t>
      </w:r>
    </w:p>
    <w:p>
      <w:pPr>
        <w:numPr>
          <w:ilvl w:val="0"/>
          <w:numId w:val="8"/>
        </w:numPr>
        <w:rPr>
          <w:sz w:val="22"/>
          <w:szCs w:val="24"/>
        </w:rPr>
      </w:pPr>
      <w:r>
        <w:rPr>
          <w:rFonts w:hint="eastAsia"/>
          <w:sz w:val="22"/>
          <w:szCs w:val="24"/>
          <w:lang w:val="en-US" w:eastAsia="zh-CN"/>
        </w:rPr>
        <w:t>R4-2220537</w:t>
      </w:r>
      <w:r>
        <w:rPr>
          <w:rFonts w:hint="eastAsia"/>
          <w:sz w:val="22"/>
          <w:szCs w:val="24"/>
          <w:lang w:val="en-US" w:eastAsia="zh-CN"/>
        </w:rPr>
        <w:t xml:space="preserve">, </w:t>
      </w:r>
      <w:r>
        <w:rPr>
          <w:rFonts w:eastAsia="宋体"/>
          <w:sz w:val="22"/>
          <w:lang w:eastAsia="zh-CN"/>
        </w:rPr>
        <w:t>WF on the requirement for intra-band non-collocated CA/EN-DC, KDDI</w:t>
      </w:r>
    </w:p>
    <w:p>
      <w:pPr>
        <w:numPr>
          <w:ilvl w:val="0"/>
          <w:numId w:val="8"/>
        </w:numPr>
        <w:rPr>
          <w:sz w:val="22"/>
          <w:szCs w:val="24"/>
        </w:rPr>
      </w:pPr>
      <w:r>
        <w:rPr>
          <w:rFonts w:hint="eastAsia"/>
          <w:sz w:val="22"/>
          <w:szCs w:val="24"/>
          <w:lang w:val="en-US" w:eastAsia="zh-CN"/>
        </w:rPr>
        <w:fldChar w:fldCharType="begin"/>
      </w:r>
      <w:r>
        <w:rPr>
          <w:rFonts w:hint="eastAsia"/>
          <w:sz w:val="22"/>
          <w:szCs w:val="24"/>
          <w:lang w:val="en-US" w:eastAsia="zh-CN"/>
        </w:rPr>
        <w:instrText xml:space="preserve"> HYPERLINK "http://10.10.10.10/ftp/RAN/RAN4/Inbox/R4-2410686.zip" </w:instrText>
      </w:r>
      <w:r>
        <w:rPr>
          <w:rFonts w:hint="eastAsia"/>
          <w:sz w:val="22"/>
          <w:szCs w:val="24"/>
          <w:lang w:val="en-US" w:eastAsia="zh-CN"/>
        </w:rPr>
        <w:fldChar w:fldCharType="separate"/>
      </w:r>
      <w:r>
        <w:rPr>
          <w:rFonts w:hint="eastAsia"/>
          <w:sz w:val="22"/>
          <w:szCs w:val="24"/>
          <w:lang w:val="en-US" w:eastAsia="zh-CN"/>
        </w:rPr>
        <w:t>R4-2410686</w:t>
      </w:r>
      <w:r>
        <w:rPr>
          <w:rFonts w:hint="eastAsia"/>
          <w:sz w:val="22"/>
          <w:szCs w:val="24"/>
          <w:lang w:val="en-US" w:eastAsia="zh-CN"/>
        </w:rPr>
        <w:fldChar w:fldCharType="end"/>
      </w:r>
      <w:r>
        <w:rPr>
          <w:rFonts w:hint="eastAsia"/>
          <w:sz w:val="22"/>
          <w:szCs w:val="24"/>
          <w:lang w:val="en-US" w:eastAsia="zh-CN"/>
        </w:rPr>
        <w:t>, WF on Rel-19 non-collocated UE RF requirements</w:t>
      </w:r>
    </w:p>
    <w:p>
      <w:pPr>
        <w:numPr>
          <w:ilvl w:val="-1"/>
          <w:numId w:val="0"/>
        </w:numPr>
      </w:pPr>
    </w:p>
    <w:p>
      <w:pPr>
        <w:pStyle w:val="19"/>
        <w:shd w:val="clear" w:color="auto" w:fill="FFFFFF"/>
        <w:spacing w:before="60" w:beforeAutospacing="0" w:after="0" w:afterAutospacing="0" w:line="300" w:lineRule="atLeast"/>
        <w:rPr>
          <w:rStyle w:val="26"/>
          <w:rFonts w:ascii="Times New Roman" w:hAnsi="Times New Roman" w:cs="Times New Roman"/>
          <w:color w:val="auto"/>
          <w:sz w:val="21"/>
          <w:szCs w:val="21"/>
          <w:shd w:val="clear" w:color="auto" w:fill="FFFFFF"/>
        </w:rPr>
      </w:pPr>
    </w:p>
    <w:sectPr>
      <w:headerReference r:id="rId3" w:type="default"/>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Times">
    <w:altName w:val="Times New Roman"/>
    <w:panose1 w:val="02020603050405020304"/>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Yu Mincho">
    <w:altName w:val="Yu Gothic UI Semilight"/>
    <w:panose1 w:val="020204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 w:name="仿宋">
    <w:panose1 w:val="02010609060101010101"/>
    <w:charset w:val="86"/>
    <w:family w:val="auto"/>
    <w:pitch w:val="default"/>
    <w:sig w:usb0="800002BF" w:usb1="38CF7CFA" w:usb2="00000016" w:usb3="00000000" w:csb0="00040001" w:csb1="00000000"/>
  </w:font>
  <w:font w:name="Yu Gothic UI Semilight">
    <w:panose1 w:val="020B0400000000000000"/>
    <w:charset w:val="80"/>
    <w:family w:val="auto"/>
    <w:pitch w:val="default"/>
    <w:sig w:usb0="E00002FF" w:usb1="2AC7FDFF" w:usb2="00000016" w:usb3="00000000" w:csb0="200200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3A533C5C"/>
    <w:multiLevelType w:val="multilevel"/>
    <w:tmpl w:val="3A533C5C"/>
    <w:lvl w:ilvl="0" w:tentative="0">
      <w:start w:val="1"/>
      <w:numFmt w:val="bullet"/>
      <w:lvlText w:val=""/>
      <w:lvlJc w:val="left"/>
      <w:pPr>
        <w:ind w:left="1260" w:hanging="420"/>
      </w:pPr>
      <w:rPr>
        <w:rFonts w:hint="default" w:ascii="Wingdings" w:hAnsi="Wingdings"/>
      </w:rPr>
    </w:lvl>
    <w:lvl w:ilvl="1" w:tentative="0">
      <w:start w:val="1"/>
      <w:numFmt w:val="bullet"/>
      <w:lvlText w:val=""/>
      <w:lvlJc w:val="left"/>
      <w:pPr>
        <w:ind w:left="168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46B43B9D"/>
    <w:multiLevelType w:val="multilevel"/>
    <w:tmpl w:val="46B43B9D"/>
    <w:lvl w:ilvl="0" w:tentative="0">
      <w:start w:val="1"/>
      <w:numFmt w:val="decimal"/>
      <w:pStyle w:val="96"/>
      <w:suff w:val="space"/>
      <w:lvlText w:val="Observation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4D6E3167"/>
    <w:multiLevelType w:val="multilevel"/>
    <w:tmpl w:val="4D6E3167"/>
    <w:lvl w:ilvl="0" w:tentative="0">
      <w:start w:val="1"/>
      <w:numFmt w:val="decimal"/>
      <w:pStyle w:val="97"/>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4">
    <w:nsid w:val="58B73482"/>
    <w:multiLevelType w:val="multilevel"/>
    <w:tmpl w:val="58B73482"/>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color w:val="000000" w:themeColor="text1"/>
        <w14:textFill>
          <w14:solidFill>
            <w14:schemeClr w14:val="tx1"/>
          </w14:solidFill>
        </w14:textFill>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5">
    <w:nsid w:val="5D177F5E"/>
    <w:multiLevelType w:val="multilevel"/>
    <w:tmpl w:val="5D177F5E"/>
    <w:lvl w:ilvl="0" w:tentative="0">
      <w:start w:val="1"/>
      <w:numFmt w:val="decimal"/>
      <w:pStyle w:val="54"/>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6">
    <w:nsid w:val="67267C66"/>
    <w:multiLevelType w:val="multilevel"/>
    <w:tmpl w:val="67267C66"/>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7">
    <w:nsid w:val="70146DC0"/>
    <w:multiLevelType w:val="multilevel"/>
    <w:tmpl w:val="70146DC0"/>
    <w:lvl w:ilvl="0" w:tentative="0">
      <w:start w:val="1"/>
      <w:numFmt w:val="bullet"/>
      <w:pStyle w:val="92"/>
      <w:lvlText w:val=""/>
      <w:lvlJc w:val="left"/>
      <w:pPr>
        <w:tabs>
          <w:tab w:val="left" w:pos="1619"/>
        </w:tabs>
        <w:ind w:left="1619" w:hanging="360"/>
      </w:pPr>
      <w:rPr>
        <w:rFonts w:hint="default" w:ascii="Symbol" w:hAnsi="Symbol"/>
        <w:b/>
        <w:i w:val="0"/>
        <w:color w:val="auto"/>
        <w:sz w:val="22"/>
        <w:lang w:val="en-U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5"/>
  </w:num>
  <w:num w:numId="2">
    <w:abstractNumId w:val="7"/>
  </w:num>
  <w:num w:numId="3">
    <w:abstractNumId w:val="2"/>
  </w:num>
  <w:num w:numId="4">
    <w:abstractNumId w:val="3"/>
  </w:num>
  <w:num w:numId="5">
    <w:abstractNumId w:val="1"/>
  </w:num>
  <w:num w:numId="6">
    <w:abstractNumId w:val="4"/>
  </w:num>
  <w:num w:numId="7">
    <w:abstractNumId w:val="6"/>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A0D"/>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9A3"/>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B64"/>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42C5"/>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1FE"/>
    <w:rsid w:val="0010337F"/>
    <w:rsid w:val="00103501"/>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7AD"/>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6E1C"/>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650"/>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A7A"/>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3F1C"/>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3EE5"/>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937"/>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EF3"/>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18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3DFA"/>
    <w:rsid w:val="002E40D6"/>
    <w:rsid w:val="002E4577"/>
    <w:rsid w:val="002E47EF"/>
    <w:rsid w:val="002E48F0"/>
    <w:rsid w:val="002E5017"/>
    <w:rsid w:val="002E5054"/>
    <w:rsid w:val="002E52C8"/>
    <w:rsid w:val="002E58D4"/>
    <w:rsid w:val="002E5A48"/>
    <w:rsid w:val="002E62E4"/>
    <w:rsid w:val="002E65B1"/>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47D"/>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729"/>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CB"/>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D41"/>
    <w:rsid w:val="00460E6B"/>
    <w:rsid w:val="00461094"/>
    <w:rsid w:val="004615E8"/>
    <w:rsid w:val="004617BA"/>
    <w:rsid w:val="00461B3E"/>
    <w:rsid w:val="00461B65"/>
    <w:rsid w:val="00461D01"/>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4AD"/>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3D"/>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348"/>
    <w:rsid w:val="004D36CE"/>
    <w:rsid w:val="004D390E"/>
    <w:rsid w:val="004D3AEF"/>
    <w:rsid w:val="004D41A3"/>
    <w:rsid w:val="004D44BB"/>
    <w:rsid w:val="004D465C"/>
    <w:rsid w:val="004D4776"/>
    <w:rsid w:val="004D4C25"/>
    <w:rsid w:val="004D4F2F"/>
    <w:rsid w:val="004D51E8"/>
    <w:rsid w:val="004D5852"/>
    <w:rsid w:val="004D60B9"/>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C15"/>
    <w:rsid w:val="00503DF7"/>
    <w:rsid w:val="0050409C"/>
    <w:rsid w:val="00504D84"/>
    <w:rsid w:val="00505066"/>
    <w:rsid w:val="005058FA"/>
    <w:rsid w:val="0050613E"/>
    <w:rsid w:val="00506279"/>
    <w:rsid w:val="0050671B"/>
    <w:rsid w:val="00506E3E"/>
    <w:rsid w:val="00506ED7"/>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D69"/>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019"/>
    <w:rsid w:val="00566172"/>
    <w:rsid w:val="0056617A"/>
    <w:rsid w:val="00566219"/>
    <w:rsid w:val="00566288"/>
    <w:rsid w:val="00566836"/>
    <w:rsid w:val="00567222"/>
    <w:rsid w:val="00567295"/>
    <w:rsid w:val="00567389"/>
    <w:rsid w:val="0056743B"/>
    <w:rsid w:val="00567643"/>
    <w:rsid w:val="005676CC"/>
    <w:rsid w:val="00567A0B"/>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4E63"/>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83D"/>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AD9"/>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2B"/>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6C3"/>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CB"/>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1CD"/>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A0D"/>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9F5"/>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454"/>
    <w:rsid w:val="007E5536"/>
    <w:rsid w:val="007E5B67"/>
    <w:rsid w:val="007E5D2C"/>
    <w:rsid w:val="007E5EA0"/>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3F47"/>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46D"/>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5B91"/>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2F"/>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3"/>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3E"/>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97DCA"/>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14D"/>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0B"/>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62D"/>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5D"/>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25B"/>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0CCE"/>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B8"/>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6F3"/>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79A"/>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6C1"/>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088"/>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2C7"/>
    <w:rsid w:val="00CF05BA"/>
    <w:rsid w:val="00CF0639"/>
    <w:rsid w:val="00CF0AFD"/>
    <w:rsid w:val="00CF0F5F"/>
    <w:rsid w:val="00CF1387"/>
    <w:rsid w:val="00CF18D9"/>
    <w:rsid w:val="00CF1B7D"/>
    <w:rsid w:val="00CF21CD"/>
    <w:rsid w:val="00CF2340"/>
    <w:rsid w:val="00CF237E"/>
    <w:rsid w:val="00CF2444"/>
    <w:rsid w:val="00CF25EA"/>
    <w:rsid w:val="00CF2B60"/>
    <w:rsid w:val="00CF2E6A"/>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3AD"/>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4F3"/>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1A77"/>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4AF7"/>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847"/>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295D"/>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491"/>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685"/>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CD3"/>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288"/>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458"/>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AE4"/>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3D0F"/>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1F52"/>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464"/>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456"/>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115B33"/>
    <w:rsid w:val="0112068B"/>
    <w:rsid w:val="01133912"/>
    <w:rsid w:val="011B7946"/>
    <w:rsid w:val="01202899"/>
    <w:rsid w:val="012823DD"/>
    <w:rsid w:val="012A6A7A"/>
    <w:rsid w:val="013A4C94"/>
    <w:rsid w:val="01442D89"/>
    <w:rsid w:val="01547806"/>
    <w:rsid w:val="01594895"/>
    <w:rsid w:val="015C06BF"/>
    <w:rsid w:val="015F18F2"/>
    <w:rsid w:val="015F5FA3"/>
    <w:rsid w:val="016800B9"/>
    <w:rsid w:val="017059E0"/>
    <w:rsid w:val="01791D2E"/>
    <w:rsid w:val="01821D8F"/>
    <w:rsid w:val="018C2266"/>
    <w:rsid w:val="018C3642"/>
    <w:rsid w:val="018D7DCE"/>
    <w:rsid w:val="0195201D"/>
    <w:rsid w:val="019C3DA8"/>
    <w:rsid w:val="01A402CD"/>
    <w:rsid w:val="01A742A2"/>
    <w:rsid w:val="01BA60EA"/>
    <w:rsid w:val="01BE34DB"/>
    <w:rsid w:val="01BE6ACE"/>
    <w:rsid w:val="01C027D4"/>
    <w:rsid w:val="01C32135"/>
    <w:rsid w:val="01CB0428"/>
    <w:rsid w:val="01CB7A2C"/>
    <w:rsid w:val="01D518FC"/>
    <w:rsid w:val="01E1598F"/>
    <w:rsid w:val="01E268ED"/>
    <w:rsid w:val="01EB414A"/>
    <w:rsid w:val="01ED0229"/>
    <w:rsid w:val="01F33D9D"/>
    <w:rsid w:val="01F60577"/>
    <w:rsid w:val="02016155"/>
    <w:rsid w:val="02034900"/>
    <w:rsid w:val="020F4070"/>
    <w:rsid w:val="021042F2"/>
    <w:rsid w:val="021B0767"/>
    <w:rsid w:val="021D2604"/>
    <w:rsid w:val="02293A2A"/>
    <w:rsid w:val="022D5BF3"/>
    <w:rsid w:val="022F6559"/>
    <w:rsid w:val="022F66E0"/>
    <w:rsid w:val="02333469"/>
    <w:rsid w:val="0238292F"/>
    <w:rsid w:val="023E4DDB"/>
    <w:rsid w:val="023E7088"/>
    <w:rsid w:val="0240545F"/>
    <w:rsid w:val="024C13AB"/>
    <w:rsid w:val="02532AA9"/>
    <w:rsid w:val="025732DD"/>
    <w:rsid w:val="027035EC"/>
    <w:rsid w:val="028748E0"/>
    <w:rsid w:val="02892A7A"/>
    <w:rsid w:val="029342BD"/>
    <w:rsid w:val="029D3139"/>
    <w:rsid w:val="02AF6836"/>
    <w:rsid w:val="02B06DC0"/>
    <w:rsid w:val="02B31189"/>
    <w:rsid w:val="02B85839"/>
    <w:rsid w:val="02C77A00"/>
    <w:rsid w:val="02C86D51"/>
    <w:rsid w:val="02CE3DD2"/>
    <w:rsid w:val="02D679B3"/>
    <w:rsid w:val="02D72CF0"/>
    <w:rsid w:val="02DB3978"/>
    <w:rsid w:val="02DC6BBC"/>
    <w:rsid w:val="02E3271D"/>
    <w:rsid w:val="02E929C0"/>
    <w:rsid w:val="02F573DC"/>
    <w:rsid w:val="02F95CD1"/>
    <w:rsid w:val="030150CB"/>
    <w:rsid w:val="03142F2C"/>
    <w:rsid w:val="0315569B"/>
    <w:rsid w:val="031712C4"/>
    <w:rsid w:val="03186045"/>
    <w:rsid w:val="031967AA"/>
    <w:rsid w:val="031E0FAC"/>
    <w:rsid w:val="031E4C95"/>
    <w:rsid w:val="032E4DBB"/>
    <w:rsid w:val="0332111E"/>
    <w:rsid w:val="03332CAE"/>
    <w:rsid w:val="03343BC7"/>
    <w:rsid w:val="033D44BC"/>
    <w:rsid w:val="033F52A3"/>
    <w:rsid w:val="03402EB3"/>
    <w:rsid w:val="0354325C"/>
    <w:rsid w:val="035C4C68"/>
    <w:rsid w:val="03651217"/>
    <w:rsid w:val="03687ADD"/>
    <w:rsid w:val="03696DA6"/>
    <w:rsid w:val="036A231E"/>
    <w:rsid w:val="03774924"/>
    <w:rsid w:val="03822F79"/>
    <w:rsid w:val="0395764C"/>
    <w:rsid w:val="039B69FD"/>
    <w:rsid w:val="03A32E58"/>
    <w:rsid w:val="03C0647A"/>
    <w:rsid w:val="03CD06E1"/>
    <w:rsid w:val="03CD6E1F"/>
    <w:rsid w:val="03D4427A"/>
    <w:rsid w:val="03DA2644"/>
    <w:rsid w:val="03E54642"/>
    <w:rsid w:val="03F54B29"/>
    <w:rsid w:val="03F81356"/>
    <w:rsid w:val="03F947E9"/>
    <w:rsid w:val="03FF3D36"/>
    <w:rsid w:val="04034FE6"/>
    <w:rsid w:val="040B2442"/>
    <w:rsid w:val="040C6238"/>
    <w:rsid w:val="041875C1"/>
    <w:rsid w:val="04193A43"/>
    <w:rsid w:val="04225784"/>
    <w:rsid w:val="04252816"/>
    <w:rsid w:val="043711E5"/>
    <w:rsid w:val="04376B0F"/>
    <w:rsid w:val="0444143C"/>
    <w:rsid w:val="0444783F"/>
    <w:rsid w:val="044753DC"/>
    <w:rsid w:val="045C0E21"/>
    <w:rsid w:val="045E1DEE"/>
    <w:rsid w:val="04605B56"/>
    <w:rsid w:val="04671100"/>
    <w:rsid w:val="046E16E9"/>
    <w:rsid w:val="046E568E"/>
    <w:rsid w:val="04786ED3"/>
    <w:rsid w:val="04856247"/>
    <w:rsid w:val="04865E52"/>
    <w:rsid w:val="048829D4"/>
    <w:rsid w:val="04975447"/>
    <w:rsid w:val="049B40DC"/>
    <w:rsid w:val="04D66461"/>
    <w:rsid w:val="051034CD"/>
    <w:rsid w:val="051F43BC"/>
    <w:rsid w:val="052432F7"/>
    <w:rsid w:val="05280A89"/>
    <w:rsid w:val="05367867"/>
    <w:rsid w:val="053E1AC2"/>
    <w:rsid w:val="0545651B"/>
    <w:rsid w:val="05583DC1"/>
    <w:rsid w:val="055A77BF"/>
    <w:rsid w:val="05734531"/>
    <w:rsid w:val="05784E56"/>
    <w:rsid w:val="05804262"/>
    <w:rsid w:val="05816D10"/>
    <w:rsid w:val="058E6ED4"/>
    <w:rsid w:val="05930F73"/>
    <w:rsid w:val="05940F3F"/>
    <w:rsid w:val="05991C8F"/>
    <w:rsid w:val="05A706E9"/>
    <w:rsid w:val="05B173DC"/>
    <w:rsid w:val="05B27D07"/>
    <w:rsid w:val="05B658ED"/>
    <w:rsid w:val="05BC079D"/>
    <w:rsid w:val="05BE42A5"/>
    <w:rsid w:val="05C845A1"/>
    <w:rsid w:val="05CC32B8"/>
    <w:rsid w:val="05D16BC6"/>
    <w:rsid w:val="05E660EA"/>
    <w:rsid w:val="05E73462"/>
    <w:rsid w:val="05EE3B4E"/>
    <w:rsid w:val="05FA1213"/>
    <w:rsid w:val="05FF3135"/>
    <w:rsid w:val="060836A6"/>
    <w:rsid w:val="060D249E"/>
    <w:rsid w:val="06111076"/>
    <w:rsid w:val="062D742E"/>
    <w:rsid w:val="06474EFD"/>
    <w:rsid w:val="06493A8C"/>
    <w:rsid w:val="064A35EA"/>
    <w:rsid w:val="064B521E"/>
    <w:rsid w:val="064C2727"/>
    <w:rsid w:val="065740AF"/>
    <w:rsid w:val="065A56A2"/>
    <w:rsid w:val="0665756F"/>
    <w:rsid w:val="06735C62"/>
    <w:rsid w:val="067570AB"/>
    <w:rsid w:val="067B39B4"/>
    <w:rsid w:val="067D28AB"/>
    <w:rsid w:val="06805AC5"/>
    <w:rsid w:val="06836FEC"/>
    <w:rsid w:val="068523FB"/>
    <w:rsid w:val="068C6317"/>
    <w:rsid w:val="069B1966"/>
    <w:rsid w:val="06A32A23"/>
    <w:rsid w:val="06A55EB9"/>
    <w:rsid w:val="06AE0568"/>
    <w:rsid w:val="06B548E2"/>
    <w:rsid w:val="06BA7F49"/>
    <w:rsid w:val="06BB4F9D"/>
    <w:rsid w:val="06C72EBF"/>
    <w:rsid w:val="06C9247F"/>
    <w:rsid w:val="06CD3A64"/>
    <w:rsid w:val="06E80EF4"/>
    <w:rsid w:val="06F30672"/>
    <w:rsid w:val="06F35A7A"/>
    <w:rsid w:val="06F35AB6"/>
    <w:rsid w:val="06F66B05"/>
    <w:rsid w:val="06FF51E1"/>
    <w:rsid w:val="0708086F"/>
    <w:rsid w:val="07220D76"/>
    <w:rsid w:val="072717DA"/>
    <w:rsid w:val="07277193"/>
    <w:rsid w:val="072B7E46"/>
    <w:rsid w:val="072F2139"/>
    <w:rsid w:val="073B285A"/>
    <w:rsid w:val="07436058"/>
    <w:rsid w:val="074E566F"/>
    <w:rsid w:val="074F3DF9"/>
    <w:rsid w:val="07537C92"/>
    <w:rsid w:val="075670A4"/>
    <w:rsid w:val="075E667A"/>
    <w:rsid w:val="07660D5A"/>
    <w:rsid w:val="07665169"/>
    <w:rsid w:val="076F4BA4"/>
    <w:rsid w:val="07731BE6"/>
    <w:rsid w:val="077F542D"/>
    <w:rsid w:val="077F5D16"/>
    <w:rsid w:val="07817B19"/>
    <w:rsid w:val="07822DAF"/>
    <w:rsid w:val="078B062A"/>
    <w:rsid w:val="07916BE4"/>
    <w:rsid w:val="07992686"/>
    <w:rsid w:val="07A2728D"/>
    <w:rsid w:val="07A44A2F"/>
    <w:rsid w:val="07AA3E51"/>
    <w:rsid w:val="07BE51B2"/>
    <w:rsid w:val="07D835FB"/>
    <w:rsid w:val="07DD018B"/>
    <w:rsid w:val="07E014BE"/>
    <w:rsid w:val="07E04AA8"/>
    <w:rsid w:val="07E51BB2"/>
    <w:rsid w:val="07E85751"/>
    <w:rsid w:val="07ED5339"/>
    <w:rsid w:val="07F97CF9"/>
    <w:rsid w:val="0800676F"/>
    <w:rsid w:val="08171593"/>
    <w:rsid w:val="0835476E"/>
    <w:rsid w:val="08367FC2"/>
    <w:rsid w:val="08391661"/>
    <w:rsid w:val="084E0029"/>
    <w:rsid w:val="08550FFB"/>
    <w:rsid w:val="085D6C7E"/>
    <w:rsid w:val="08611CAF"/>
    <w:rsid w:val="0865781A"/>
    <w:rsid w:val="0866133E"/>
    <w:rsid w:val="08692F64"/>
    <w:rsid w:val="087716A2"/>
    <w:rsid w:val="08780590"/>
    <w:rsid w:val="087A3AF7"/>
    <w:rsid w:val="087E046C"/>
    <w:rsid w:val="08813C88"/>
    <w:rsid w:val="08942BDF"/>
    <w:rsid w:val="089852F1"/>
    <w:rsid w:val="08990610"/>
    <w:rsid w:val="089B5449"/>
    <w:rsid w:val="089D6B7D"/>
    <w:rsid w:val="08B21918"/>
    <w:rsid w:val="08B40442"/>
    <w:rsid w:val="08B94847"/>
    <w:rsid w:val="08C14001"/>
    <w:rsid w:val="08D7362B"/>
    <w:rsid w:val="08F5200D"/>
    <w:rsid w:val="08F911CC"/>
    <w:rsid w:val="09016732"/>
    <w:rsid w:val="09127CF4"/>
    <w:rsid w:val="092234B5"/>
    <w:rsid w:val="092C26C9"/>
    <w:rsid w:val="09334A3F"/>
    <w:rsid w:val="094109B5"/>
    <w:rsid w:val="09444B9B"/>
    <w:rsid w:val="0953050B"/>
    <w:rsid w:val="09546457"/>
    <w:rsid w:val="0958129F"/>
    <w:rsid w:val="09582472"/>
    <w:rsid w:val="096308E4"/>
    <w:rsid w:val="096913F9"/>
    <w:rsid w:val="096B649C"/>
    <w:rsid w:val="096F18AA"/>
    <w:rsid w:val="096F1D52"/>
    <w:rsid w:val="09713F26"/>
    <w:rsid w:val="09796C44"/>
    <w:rsid w:val="098344BC"/>
    <w:rsid w:val="09846B33"/>
    <w:rsid w:val="098A1B59"/>
    <w:rsid w:val="09902C37"/>
    <w:rsid w:val="099D22A1"/>
    <w:rsid w:val="09A545D9"/>
    <w:rsid w:val="09A64698"/>
    <w:rsid w:val="09AC5074"/>
    <w:rsid w:val="09AD07F3"/>
    <w:rsid w:val="09B14A34"/>
    <w:rsid w:val="09BA5647"/>
    <w:rsid w:val="09C346F5"/>
    <w:rsid w:val="09CD6A58"/>
    <w:rsid w:val="09CD6EF5"/>
    <w:rsid w:val="09DB613A"/>
    <w:rsid w:val="09E14486"/>
    <w:rsid w:val="09E4648F"/>
    <w:rsid w:val="09F1407D"/>
    <w:rsid w:val="09F21427"/>
    <w:rsid w:val="0A093274"/>
    <w:rsid w:val="0A145E2C"/>
    <w:rsid w:val="0A223227"/>
    <w:rsid w:val="0A22459E"/>
    <w:rsid w:val="0A2705E1"/>
    <w:rsid w:val="0A2A6A0B"/>
    <w:rsid w:val="0A312533"/>
    <w:rsid w:val="0A335E1D"/>
    <w:rsid w:val="0A3A0D5D"/>
    <w:rsid w:val="0A3C3D64"/>
    <w:rsid w:val="0A5056C6"/>
    <w:rsid w:val="0A5060D6"/>
    <w:rsid w:val="0A5F4C2E"/>
    <w:rsid w:val="0A7200B0"/>
    <w:rsid w:val="0A771CA5"/>
    <w:rsid w:val="0A7F11A2"/>
    <w:rsid w:val="0A7F4F37"/>
    <w:rsid w:val="0A843B9D"/>
    <w:rsid w:val="0A8621F2"/>
    <w:rsid w:val="0A8C711B"/>
    <w:rsid w:val="0A8F1F9F"/>
    <w:rsid w:val="0A9B6BF5"/>
    <w:rsid w:val="0AA40CFE"/>
    <w:rsid w:val="0AA50074"/>
    <w:rsid w:val="0AAB401F"/>
    <w:rsid w:val="0AB329A9"/>
    <w:rsid w:val="0ABA55D8"/>
    <w:rsid w:val="0AC23AEF"/>
    <w:rsid w:val="0ACD4245"/>
    <w:rsid w:val="0AD57B82"/>
    <w:rsid w:val="0AD57FD6"/>
    <w:rsid w:val="0AD84FAB"/>
    <w:rsid w:val="0ADD7B55"/>
    <w:rsid w:val="0B0569D0"/>
    <w:rsid w:val="0B110AC0"/>
    <w:rsid w:val="0B1157EF"/>
    <w:rsid w:val="0B155EAD"/>
    <w:rsid w:val="0B1765E0"/>
    <w:rsid w:val="0B1C1D7C"/>
    <w:rsid w:val="0B1D3582"/>
    <w:rsid w:val="0B22066E"/>
    <w:rsid w:val="0B2643BE"/>
    <w:rsid w:val="0B3F2432"/>
    <w:rsid w:val="0B4D5218"/>
    <w:rsid w:val="0B5C42B3"/>
    <w:rsid w:val="0B5F215C"/>
    <w:rsid w:val="0B605DE1"/>
    <w:rsid w:val="0B622E13"/>
    <w:rsid w:val="0B651A68"/>
    <w:rsid w:val="0B717521"/>
    <w:rsid w:val="0B884E90"/>
    <w:rsid w:val="0B892782"/>
    <w:rsid w:val="0B936E39"/>
    <w:rsid w:val="0B9573CE"/>
    <w:rsid w:val="0B9E13B0"/>
    <w:rsid w:val="0BB02C8B"/>
    <w:rsid w:val="0BB2460A"/>
    <w:rsid w:val="0BB41CFB"/>
    <w:rsid w:val="0BB53F3C"/>
    <w:rsid w:val="0BC739F0"/>
    <w:rsid w:val="0BD21910"/>
    <w:rsid w:val="0BDB5584"/>
    <w:rsid w:val="0BE03DAA"/>
    <w:rsid w:val="0BE17727"/>
    <w:rsid w:val="0BEC55E4"/>
    <w:rsid w:val="0BF427F9"/>
    <w:rsid w:val="0C0B2ABC"/>
    <w:rsid w:val="0C0C632D"/>
    <w:rsid w:val="0C120111"/>
    <w:rsid w:val="0C12447E"/>
    <w:rsid w:val="0C1D0A79"/>
    <w:rsid w:val="0C312090"/>
    <w:rsid w:val="0C37145B"/>
    <w:rsid w:val="0C3946F8"/>
    <w:rsid w:val="0C3C0AB0"/>
    <w:rsid w:val="0C52301A"/>
    <w:rsid w:val="0C573449"/>
    <w:rsid w:val="0C576E02"/>
    <w:rsid w:val="0C6038EF"/>
    <w:rsid w:val="0C654C73"/>
    <w:rsid w:val="0C663BE3"/>
    <w:rsid w:val="0C744A34"/>
    <w:rsid w:val="0C751214"/>
    <w:rsid w:val="0C780533"/>
    <w:rsid w:val="0C780F1E"/>
    <w:rsid w:val="0C833387"/>
    <w:rsid w:val="0C85742B"/>
    <w:rsid w:val="0C8726EC"/>
    <w:rsid w:val="0C873353"/>
    <w:rsid w:val="0C885C99"/>
    <w:rsid w:val="0C8B4B61"/>
    <w:rsid w:val="0C9A4387"/>
    <w:rsid w:val="0C9D3F03"/>
    <w:rsid w:val="0CA1546A"/>
    <w:rsid w:val="0CA46672"/>
    <w:rsid w:val="0CA92BAC"/>
    <w:rsid w:val="0CB471A1"/>
    <w:rsid w:val="0CB90F2E"/>
    <w:rsid w:val="0CBB5A0F"/>
    <w:rsid w:val="0CCD3B1C"/>
    <w:rsid w:val="0CE06D15"/>
    <w:rsid w:val="0CE245F1"/>
    <w:rsid w:val="0CE4001E"/>
    <w:rsid w:val="0D0213CD"/>
    <w:rsid w:val="0D04575D"/>
    <w:rsid w:val="0D0612B8"/>
    <w:rsid w:val="0D066A9C"/>
    <w:rsid w:val="0D0714BC"/>
    <w:rsid w:val="0D0A683D"/>
    <w:rsid w:val="0D136EF9"/>
    <w:rsid w:val="0D1A52C8"/>
    <w:rsid w:val="0D1C1D16"/>
    <w:rsid w:val="0D2015BD"/>
    <w:rsid w:val="0D21615D"/>
    <w:rsid w:val="0D2454BF"/>
    <w:rsid w:val="0D2765E4"/>
    <w:rsid w:val="0D2767B5"/>
    <w:rsid w:val="0D3E327E"/>
    <w:rsid w:val="0D432A3E"/>
    <w:rsid w:val="0D480AA9"/>
    <w:rsid w:val="0D5800C7"/>
    <w:rsid w:val="0D591BF3"/>
    <w:rsid w:val="0D5B6E86"/>
    <w:rsid w:val="0D604B9B"/>
    <w:rsid w:val="0D672035"/>
    <w:rsid w:val="0D6A353C"/>
    <w:rsid w:val="0D826C81"/>
    <w:rsid w:val="0D904522"/>
    <w:rsid w:val="0D976014"/>
    <w:rsid w:val="0DA060E8"/>
    <w:rsid w:val="0DA57AAE"/>
    <w:rsid w:val="0DB76EF8"/>
    <w:rsid w:val="0DBF7C01"/>
    <w:rsid w:val="0DC71090"/>
    <w:rsid w:val="0DCE36F3"/>
    <w:rsid w:val="0DD621E4"/>
    <w:rsid w:val="0DDD2372"/>
    <w:rsid w:val="0DDE1317"/>
    <w:rsid w:val="0DE55D4A"/>
    <w:rsid w:val="0DEE77C3"/>
    <w:rsid w:val="0DF367C2"/>
    <w:rsid w:val="0DFC48AF"/>
    <w:rsid w:val="0DFF2594"/>
    <w:rsid w:val="0E0313B1"/>
    <w:rsid w:val="0E062A96"/>
    <w:rsid w:val="0E0D1A47"/>
    <w:rsid w:val="0E176FCD"/>
    <w:rsid w:val="0E1C0C6C"/>
    <w:rsid w:val="0E281319"/>
    <w:rsid w:val="0E3217E8"/>
    <w:rsid w:val="0E387AA5"/>
    <w:rsid w:val="0E3E241A"/>
    <w:rsid w:val="0E3F0E9A"/>
    <w:rsid w:val="0E400D03"/>
    <w:rsid w:val="0E444008"/>
    <w:rsid w:val="0E485C9B"/>
    <w:rsid w:val="0E5E2B07"/>
    <w:rsid w:val="0E771E51"/>
    <w:rsid w:val="0E7A2A61"/>
    <w:rsid w:val="0E7C0762"/>
    <w:rsid w:val="0E8118C0"/>
    <w:rsid w:val="0E9A17E3"/>
    <w:rsid w:val="0EA11114"/>
    <w:rsid w:val="0EA35AC0"/>
    <w:rsid w:val="0EB34961"/>
    <w:rsid w:val="0EB9447E"/>
    <w:rsid w:val="0EC11B24"/>
    <w:rsid w:val="0EC468A2"/>
    <w:rsid w:val="0ECC4066"/>
    <w:rsid w:val="0ECE7C5F"/>
    <w:rsid w:val="0EDA48C8"/>
    <w:rsid w:val="0EF75D05"/>
    <w:rsid w:val="0EF957FE"/>
    <w:rsid w:val="0EFE2ACB"/>
    <w:rsid w:val="0F0D240A"/>
    <w:rsid w:val="0F0E2F3A"/>
    <w:rsid w:val="0F12247A"/>
    <w:rsid w:val="0F141BFB"/>
    <w:rsid w:val="0F1D0ECD"/>
    <w:rsid w:val="0F301A42"/>
    <w:rsid w:val="0F3452E0"/>
    <w:rsid w:val="0F364BC2"/>
    <w:rsid w:val="0F3A630E"/>
    <w:rsid w:val="0F3B1C05"/>
    <w:rsid w:val="0F455F85"/>
    <w:rsid w:val="0F49564D"/>
    <w:rsid w:val="0F4D1918"/>
    <w:rsid w:val="0F5075AE"/>
    <w:rsid w:val="0F521719"/>
    <w:rsid w:val="0F571705"/>
    <w:rsid w:val="0F584757"/>
    <w:rsid w:val="0F6A1108"/>
    <w:rsid w:val="0F704CEF"/>
    <w:rsid w:val="0F7514AB"/>
    <w:rsid w:val="0F7C4621"/>
    <w:rsid w:val="0F7D786D"/>
    <w:rsid w:val="0F7E4DAF"/>
    <w:rsid w:val="0F80243B"/>
    <w:rsid w:val="0F842AF1"/>
    <w:rsid w:val="0F8E6521"/>
    <w:rsid w:val="0F9A3D44"/>
    <w:rsid w:val="0FA26E81"/>
    <w:rsid w:val="0FAD0019"/>
    <w:rsid w:val="0FAD3299"/>
    <w:rsid w:val="0FB261C9"/>
    <w:rsid w:val="0FB31343"/>
    <w:rsid w:val="0FC12836"/>
    <w:rsid w:val="0FD91D6A"/>
    <w:rsid w:val="0FD95333"/>
    <w:rsid w:val="0FEC322B"/>
    <w:rsid w:val="0FEC6EF6"/>
    <w:rsid w:val="0FEE5D73"/>
    <w:rsid w:val="0FF827D2"/>
    <w:rsid w:val="10045EE6"/>
    <w:rsid w:val="100C1580"/>
    <w:rsid w:val="100D3B17"/>
    <w:rsid w:val="10154FE6"/>
    <w:rsid w:val="1023666E"/>
    <w:rsid w:val="1035409F"/>
    <w:rsid w:val="1035503C"/>
    <w:rsid w:val="1037078D"/>
    <w:rsid w:val="103806C3"/>
    <w:rsid w:val="103A7991"/>
    <w:rsid w:val="10413A4E"/>
    <w:rsid w:val="10462479"/>
    <w:rsid w:val="104B2D15"/>
    <w:rsid w:val="10545462"/>
    <w:rsid w:val="10613177"/>
    <w:rsid w:val="10674DB0"/>
    <w:rsid w:val="106D678B"/>
    <w:rsid w:val="107374A2"/>
    <w:rsid w:val="10746083"/>
    <w:rsid w:val="10774625"/>
    <w:rsid w:val="107B4809"/>
    <w:rsid w:val="10836F99"/>
    <w:rsid w:val="10886883"/>
    <w:rsid w:val="108A2129"/>
    <w:rsid w:val="10924B2D"/>
    <w:rsid w:val="10953B42"/>
    <w:rsid w:val="10B7486E"/>
    <w:rsid w:val="10CC5735"/>
    <w:rsid w:val="10D679E0"/>
    <w:rsid w:val="10FA45D2"/>
    <w:rsid w:val="11024527"/>
    <w:rsid w:val="110A4489"/>
    <w:rsid w:val="11150F62"/>
    <w:rsid w:val="111A28E5"/>
    <w:rsid w:val="112F54D2"/>
    <w:rsid w:val="1133321C"/>
    <w:rsid w:val="11457D8C"/>
    <w:rsid w:val="11461F96"/>
    <w:rsid w:val="114C3CA8"/>
    <w:rsid w:val="114D3A1D"/>
    <w:rsid w:val="11562BF2"/>
    <w:rsid w:val="11576536"/>
    <w:rsid w:val="11607F73"/>
    <w:rsid w:val="11613A1B"/>
    <w:rsid w:val="11703DE0"/>
    <w:rsid w:val="117561EB"/>
    <w:rsid w:val="117824F0"/>
    <w:rsid w:val="117E2370"/>
    <w:rsid w:val="11800455"/>
    <w:rsid w:val="11815230"/>
    <w:rsid w:val="11847341"/>
    <w:rsid w:val="11996649"/>
    <w:rsid w:val="11AA61BD"/>
    <w:rsid w:val="11AC7561"/>
    <w:rsid w:val="11AE6531"/>
    <w:rsid w:val="11AF439E"/>
    <w:rsid w:val="11B50817"/>
    <w:rsid w:val="11B66269"/>
    <w:rsid w:val="11BA0839"/>
    <w:rsid w:val="11CA3974"/>
    <w:rsid w:val="11D13AE4"/>
    <w:rsid w:val="11E4369D"/>
    <w:rsid w:val="11E43DAC"/>
    <w:rsid w:val="11EE4F27"/>
    <w:rsid w:val="11F267E8"/>
    <w:rsid w:val="11F427FC"/>
    <w:rsid w:val="11FE2252"/>
    <w:rsid w:val="12066C25"/>
    <w:rsid w:val="1210456D"/>
    <w:rsid w:val="12134828"/>
    <w:rsid w:val="12143598"/>
    <w:rsid w:val="121729B6"/>
    <w:rsid w:val="121F7DC0"/>
    <w:rsid w:val="12220941"/>
    <w:rsid w:val="122A6318"/>
    <w:rsid w:val="122C6138"/>
    <w:rsid w:val="123549A4"/>
    <w:rsid w:val="123616D6"/>
    <w:rsid w:val="12396B0A"/>
    <w:rsid w:val="123A52C3"/>
    <w:rsid w:val="123E0CDC"/>
    <w:rsid w:val="123F0DB6"/>
    <w:rsid w:val="12420E79"/>
    <w:rsid w:val="125A02CC"/>
    <w:rsid w:val="12845278"/>
    <w:rsid w:val="128E70AD"/>
    <w:rsid w:val="129D41B7"/>
    <w:rsid w:val="12A45BB3"/>
    <w:rsid w:val="12AC51B9"/>
    <w:rsid w:val="12B1068C"/>
    <w:rsid w:val="12B5075C"/>
    <w:rsid w:val="12BC3C60"/>
    <w:rsid w:val="12C667C3"/>
    <w:rsid w:val="12C77089"/>
    <w:rsid w:val="12CB4026"/>
    <w:rsid w:val="12D16C9D"/>
    <w:rsid w:val="12D20ECB"/>
    <w:rsid w:val="12D93C20"/>
    <w:rsid w:val="12DD694C"/>
    <w:rsid w:val="12DF0C5E"/>
    <w:rsid w:val="12EE6AFD"/>
    <w:rsid w:val="12F538D3"/>
    <w:rsid w:val="12F85F0D"/>
    <w:rsid w:val="12FB7F3D"/>
    <w:rsid w:val="1306326A"/>
    <w:rsid w:val="131046DE"/>
    <w:rsid w:val="131B2229"/>
    <w:rsid w:val="131B463A"/>
    <w:rsid w:val="131D12BF"/>
    <w:rsid w:val="131D5DAE"/>
    <w:rsid w:val="13217B01"/>
    <w:rsid w:val="132625C2"/>
    <w:rsid w:val="132A7435"/>
    <w:rsid w:val="13322AD3"/>
    <w:rsid w:val="133B5756"/>
    <w:rsid w:val="135F5E4E"/>
    <w:rsid w:val="13613A31"/>
    <w:rsid w:val="137F1B10"/>
    <w:rsid w:val="1382164E"/>
    <w:rsid w:val="138C58F2"/>
    <w:rsid w:val="13913843"/>
    <w:rsid w:val="13920C1D"/>
    <w:rsid w:val="13962CE5"/>
    <w:rsid w:val="13A62921"/>
    <w:rsid w:val="13AB3B97"/>
    <w:rsid w:val="13B35E26"/>
    <w:rsid w:val="13B42C01"/>
    <w:rsid w:val="13B66BD2"/>
    <w:rsid w:val="13BF66BA"/>
    <w:rsid w:val="13CA31CB"/>
    <w:rsid w:val="13CD1105"/>
    <w:rsid w:val="13D27C86"/>
    <w:rsid w:val="13D765AD"/>
    <w:rsid w:val="13DC36E2"/>
    <w:rsid w:val="13F22B81"/>
    <w:rsid w:val="13FD4FCC"/>
    <w:rsid w:val="13FE285E"/>
    <w:rsid w:val="1410395F"/>
    <w:rsid w:val="141624C3"/>
    <w:rsid w:val="14220CA7"/>
    <w:rsid w:val="142E6CAD"/>
    <w:rsid w:val="143802F8"/>
    <w:rsid w:val="144442DA"/>
    <w:rsid w:val="144C6544"/>
    <w:rsid w:val="14812D74"/>
    <w:rsid w:val="14836C15"/>
    <w:rsid w:val="14862300"/>
    <w:rsid w:val="148C00A0"/>
    <w:rsid w:val="148D3653"/>
    <w:rsid w:val="149B43FA"/>
    <w:rsid w:val="149E0A7B"/>
    <w:rsid w:val="14A82A63"/>
    <w:rsid w:val="14A86EA4"/>
    <w:rsid w:val="14AC358C"/>
    <w:rsid w:val="14B76730"/>
    <w:rsid w:val="14C767C8"/>
    <w:rsid w:val="14DE753E"/>
    <w:rsid w:val="14F51028"/>
    <w:rsid w:val="14F52738"/>
    <w:rsid w:val="14F549EC"/>
    <w:rsid w:val="14F92549"/>
    <w:rsid w:val="14FB4950"/>
    <w:rsid w:val="14FD4800"/>
    <w:rsid w:val="14FE45D8"/>
    <w:rsid w:val="150650CB"/>
    <w:rsid w:val="150E6B8B"/>
    <w:rsid w:val="15157DF4"/>
    <w:rsid w:val="151B0462"/>
    <w:rsid w:val="151C45D8"/>
    <w:rsid w:val="15290336"/>
    <w:rsid w:val="155424D6"/>
    <w:rsid w:val="155605E9"/>
    <w:rsid w:val="155B1745"/>
    <w:rsid w:val="155F651D"/>
    <w:rsid w:val="15655F19"/>
    <w:rsid w:val="157348EB"/>
    <w:rsid w:val="157500D8"/>
    <w:rsid w:val="15787FE5"/>
    <w:rsid w:val="157E21FE"/>
    <w:rsid w:val="1587411C"/>
    <w:rsid w:val="15A80FDC"/>
    <w:rsid w:val="15AA7A19"/>
    <w:rsid w:val="15AC5259"/>
    <w:rsid w:val="15AE02B1"/>
    <w:rsid w:val="15AE5475"/>
    <w:rsid w:val="15B06B12"/>
    <w:rsid w:val="15B75136"/>
    <w:rsid w:val="15BE3D9D"/>
    <w:rsid w:val="15C61DCD"/>
    <w:rsid w:val="15C95F6B"/>
    <w:rsid w:val="15D4474D"/>
    <w:rsid w:val="15D7597F"/>
    <w:rsid w:val="16007D67"/>
    <w:rsid w:val="160C437B"/>
    <w:rsid w:val="16160429"/>
    <w:rsid w:val="161C3234"/>
    <w:rsid w:val="163562A4"/>
    <w:rsid w:val="1641433F"/>
    <w:rsid w:val="164D6264"/>
    <w:rsid w:val="165511E0"/>
    <w:rsid w:val="165C4863"/>
    <w:rsid w:val="165F5560"/>
    <w:rsid w:val="1663476A"/>
    <w:rsid w:val="166C0D1B"/>
    <w:rsid w:val="166E1C29"/>
    <w:rsid w:val="16715B53"/>
    <w:rsid w:val="16727B66"/>
    <w:rsid w:val="167344C7"/>
    <w:rsid w:val="16780DA5"/>
    <w:rsid w:val="16794785"/>
    <w:rsid w:val="16853FE3"/>
    <w:rsid w:val="168F5C07"/>
    <w:rsid w:val="1695742C"/>
    <w:rsid w:val="169D1595"/>
    <w:rsid w:val="16A65B92"/>
    <w:rsid w:val="16AA56E3"/>
    <w:rsid w:val="16AD0A57"/>
    <w:rsid w:val="16BA18A0"/>
    <w:rsid w:val="16BD160C"/>
    <w:rsid w:val="16BE109A"/>
    <w:rsid w:val="16C2724F"/>
    <w:rsid w:val="16C41FCF"/>
    <w:rsid w:val="16D359B1"/>
    <w:rsid w:val="16D5544D"/>
    <w:rsid w:val="16D9147C"/>
    <w:rsid w:val="16DC6856"/>
    <w:rsid w:val="16DF721A"/>
    <w:rsid w:val="16E7220A"/>
    <w:rsid w:val="16F7773E"/>
    <w:rsid w:val="16FD7F89"/>
    <w:rsid w:val="170133DA"/>
    <w:rsid w:val="170259E1"/>
    <w:rsid w:val="17026088"/>
    <w:rsid w:val="170353FD"/>
    <w:rsid w:val="17056BCC"/>
    <w:rsid w:val="171053FC"/>
    <w:rsid w:val="1715378E"/>
    <w:rsid w:val="17256955"/>
    <w:rsid w:val="17343071"/>
    <w:rsid w:val="17350245"/>
    <w:rsid w:val="17382580"/>
    <w:rsid w:val="174D3983"/>
    <w:rsid w:val="17595246"/>
    <w:rsid w:val="175E4288"/>
    <w:rsid w:val="175F6489"/>
    <w:rsid w:val="176C704A"/>
    <w:rsid w:val="17844C56"/>
    <w:rsid w:val="179559A6"/>
    <w:rsid w:val="17957384"/>
    <w:rsid w:val="17A30F12"/>
    <w:rsid w:val="17BA48D6"/>
    <w:rsid w:val="17C229EC"/>
    <w:rsid w:val="17C535A1"/>
    <w:rsid w:val="17CC1D1C"/>
    <w:rsid w:val="17CD5EE0"/>
    <w:rsid w:val="17D07C2A"/>
    <w:rsid w:val="17D40766"/>
    <w:rsid w:val="17D47D7C"/>
    <w:rsid w:val="17D77CA7"/>
    <w:rsid w:val="17DD34AB"/>
    <w:rsid w:val="17F223D1"/>
    <w:rsid w:val="17FC272C"/>
    <w:rsid w:val="17FE0B0A"/>
    <w:rsid w:val="17FE0C9F"/>
    <w:rsid w:val="17FF3C9D"/>
    <w:rsid w:val="180A527C"/>
    <w:rsid w:val="18157481"/>
    <w:rsid w:val="181B3A35"/>
    <w:rsid w:val="18235E85"/>
    <w:rsid w:val="18331DAD"/>
    <w:rsid w:val="183E4121"/>
    <w:rsid w:val="18420253"/>
    <w:rsid w:val="184A67B9"/>
    <w:rsid w:val="18533B98"/>
    <w:rsid w:val="186B15D6"/>
    <w:rsid w:val="186C1DBE"/>
    <w:rsid w:val="186C5153"/>
    <w:rsid w:val="186E738D"/>
    <w:rsid w:val="187640ED"/>
    <w:rsid w:val="18804AA7"/>
    <w:rsid w:val="188C4F53"/>
    <w:rsid w:val="189E5F7A"/>
    <w:rsid w:val="18A16B9A"/>
    <w:rsid w:val="18A94FC3"/>
    <w:rsid w:val="18AB1905"/>
    <w:rsid w:val="18AC724D"/>
    <w:rsid w:val="18AF5199"/>
    <w:rsid w:val="18AF7C5B"/>
    <w:rsid w:val="18B417E1"/>
    <w:rsid w:val="18C9246D"/>
    <w:rsid w:val="18CC0FCC"/>
    <w:rsid w:val="18CC75E7"/>
    <w:rsid w:val="18D979C0"/>
    <w:rsid w:val="18E67034"/>
    <w:rsid w:val="18E872D7"/>
    <w:rsid w:val="18EA68A3"/>
    <w:rsid w:val="18F06558"/>
    <w:rsid w:val="18F3471F"/>
    <w:rsid w:val="18F6591A"/>
    <w:rsid w:val="18F931E6"/>
    <w:rsid w:val="18FA042B"/>
    <w:rsid w:val="18FE4771"/>
    <w:rsid w:val="19046384"/>
    <w:rsid w:val="19065891"/>
    <w:rsid w:val="19170951"/>
    <w:rsid w:val="19191340"/>
    <w:rsid w:val="19200B97"/>
    <w:rsid w:val="19267DCF"/>
    <w:rsid w:val="19287BE3"/>
    <w:rsid w:val="192A5704"/>
    <w:rsid w:val="192C599A"/>
    <w:rsid w:val="193774B0"/>
    <w:rsid w:val="194A1ACB"/>
    <w:rsid w:val="194C176F"/>
    <w:rsid w:val="19500DD6"/>
    <w:rsid w:val="19521210"/>
    <w:rsid w:val="19537076"/>
    <w:rsid w:val="195621A4"/>
    <w:rsid w:val="19564B19"/>
    <w:rsid w:val="195E2D4F"/>
    <w:rsid w:val="195F336A"/>
    <w:rsid w:val="19614F51"/>
    <w:rsid w:val="196A0432"/>
    <w:rsid w:val="196B2258"/>
    <w:rsid w:val="19720BF1"/>
    <w:rsid w:val="19764535"/>
    <w:rsid w:val="198374F4"/>
    <w:rsid w:val="1989194D"/>
    <w:rsid w:val="19894C83"/>
    <w:rsid w:val="19921A8A"/>
    <w:rsid w:val="19A7296F"/>
    <w:rsid w:val="19B94DE5"/>
    <w:rsid w:val="19BB7983"/>
    <w:rsid w:val="19CA4702"/>
    <w:rsid w:val="19D76F77"/>
    <w:rsid w:val="19DE7440"/>
    <w:rsid w:val="19ED386F"/>
    <w:rsid w:val="19F37DAD"/>
    <w:rsid w:val="19FC77ED"/>
    <w:rsid w:val="19FF1298"/>
    <w:rsid w:val="1A045B87"/>
    <w:rsid w:val="1A070D13"/>
    <w:rsid w:val="1A225E86"/>
    <w:rsid w:val="1A484A02"/>
    <w:rsid w:val="1A4D1CE1"/>
    <w:rsid w:val="1A4F6072"/>
    <w:rsid w:val="1A5760FC"/>
    <w:rsid w:val="1A5B0C0F"/>
    <w:rsid w:val="1A5F7253"/>
    <w:rsid w:val="1A6A0EEA"/>
    <w:rsid w:val="1A6D22C8"/>
    <w:rsid w:val="1A725418"/>
    <w:rsid w:val="1A7A2EF9"/>
    <w:rsid w:val="1A7F4EDC"/>
    <w:rsid w:val="1A813E2C"/>
    <w:rsid w:val="1A8F2FDB"/>
    <w:rsid w:val="1A960E81"/>
    <w:rsid w:val="1A972C69"/>
    <w:rsid w:val="1A9A0C93"/>
    <w:rsid w:val="1AB02AE4"/>
    <w:rsid w:val="1AB03030"/>
    <w:rsid w:val="1AB359A1"/>
    <w:rsid w:val="1ABD31B9"/>
    <w:rsid w:val="1ABF3A95"/>
    <w:rsid w:val="1AC91D4C"/>
    <w:rsid w:val="1ACB7891"/>
    <w:rsid w:val="1ACE2A77"/>
    <w:rsid w:val="1AD03069"/>
    <w:rsid w:val="1AD55B02"/>
    <w:rsid w:val="1ADA6731"/>
    <w:rsid w:val="1ADC2627"/>
    <w:rsid w:val="1AF06C95"/>
    <w:rsid w:val="1AF34AE5"/>
    <w:rsid w:val="1AF3712C"/>
    <w:rsid w:val="1AF84C8C"/>
    <w:rsid w:val="1AFE2079"/>
    <w:rsid w:val="1B00502A"/>
    <w:rsid w:val="1B08241D"/>
    <w:rsid w:val="1B082CC4"/>
    <w:rsid w:val="1B0B3B20"/>
    <w:rsid w:val="1B1613A0"/>
    <w:rsid w:val="1B2A7E36"/>
    <w:rsid w:val="1B2F42C3"/>
    <w:rsid w:val="1B324397"/>
    <w:rsid w:val="1B372EB9"/>
    <w:rsid w:val="1B39636C"/>
    <w:rsid w:val="1B40005E"/>
    <w:rsid w:val="1B4268B4"/>
    <w:rsid w:val="1B427936"/>
    <w:rsid w:val="1B5D3106"/>
    <w:rsid w:val="1B7906CE"/>
    <w:rsid w:val="1B7D07F3"/>
    <w:rsid w:val="1B831B2B"/>
    <w:rsid w:val="1B944685"/>
    <w:rsid w:val="1BA258AE"/>
    <w:rsid w:val="1BA57F07"/>
    <w:rsid w:val="1BAA3905"/>
    <w:rsid w:val="1BB01F6E"/>
    <w:rsid w:val="1BB81DD8"/>
    <w:rsid w:val="1BB848C7"/>
    <w:rsid w:val="1BB86F3A"/>
    <w:rsid w:val="1BCA7505"/>
    <w:rsid w:val="1BD91032"/>
    <w:rsid w:val="1BF768CD"/>
    <w:rsid w:val="1BF92025"/>
    <w:rsid w:val="1BF9326D"/>
    <w:rsid w:val="1C036FDA"/>
    <w:rsid w:val="1C0730F3"/>
    <w:rsid w:val="1C08111C"/>
    <w:rsid w:val="1C0B33CB"/>
    <w:rsid w:val="1C0D0258"/>
    <w:rsid w:val="1C0D60C9"/>
    <w:rsid w:val="1C206F70"/>
    <w:rsid w:val="1C33796F"/>
    <w:rsid w:val="1C341EE3"/>
    <w:rsid w:val="1C441419"/>
    <w:rsid w:val="1C4774DD"/>
    <w:rsid w:val="1C4A45C4"/>
    <w:rsid w:val="1C4B3310"/>
    <w:rsid w:val="1C561E66"/>
    <w:rsid w:val="1C5E3742"/>
    <w:rsid w:val="1C5F23B1"/>
    <w:rsid w:val="1C6D4144"/>
    <w:rsid w:val="1C726EC3"/>
    <w:rsid w:val="1C793EB9"/>
    <w:rsid w:val="1C807142"/>
    <w:rsid w:val="1C90266F"/>
    <w:rsid w:val="1C9A166E"/>
    <w:rsid w:val="1CA16CCE"/>
    <w:rsid w:val="1CAA7318"/>
    <w:rsid w:val="1CAD2752"/>
    <w:rsid w:val="1CB702E9"/>
    <w:rsid w:val="1CBA5B32"/>
    <w:rsid w:val="1CBE0F85"/>
    <w:rsid w:val="1CBE5026"/>
    <w:rsid w:val="1CCC453E"/>
    <w:rsid w:val="1CCD6D74"/>
    <w:rsid w:val="1CD97139"/>
    <w:rsid w:val="1CDB7957"/>
    <w:rsid w:val="1CDD0F84"/>
    <w:rsid w:val="1CE2616E"/>
    <w:rsid w:val="1CF333A5"/>
    <w:rsid w:val="1D023336"/>
    <w:rsid w:val="1D031DDA"/>
    <w:rsid w:val="1D0B731D"/>
    <w:rsid w:val="1D1D6A68"/>
    <w:rsid w:val="1D1F1D0C"/>
    <w:rsid w:val="1D2054C4"/>
    <w:rsid w:val="1D24658B"/>
    <w:rsid w:val="1D2E77E8"/>
    <w:rsid w:val="1D321572"/>
    <w:rsid w:val="1D4969F4"/>
    <w:rsid w:val="1D4C117F"/>
    <w:rsid w:val="1D513E68"/>
    <w:rsid w:val="1D563E2F"/>
    <w:rsid w:val="1D5A17CD"/>
    <w:rsid w:val="1D5C4505"/>
    <w:rsid w:val="1D6033FE"/>
    <w:rsid w:val="1D684015"/>
    <w:rsid w:val="1D6F79AF"/>
    <w:rsid w:val="1D7C6E19"/>
    <w:rsid w:val="1D8F5B72"/>
    <w:rsid w:val="1D8F6826"/>
    <w:rsid w:val="1D954DE0"/>
    <w:rsid w:val="1D9C5DA0"/>
    <w:rsid w:val="1D9C7126"/>
    <w:rsid w:val="1D9F462B"/>
    <w:rsid w:val="1DA265B5"/>
    <w:rsid w:val="1DB26ED0"/>
    <w:rsid w:val="1DB835A9"/>
    <w:rsid w:val="1DC603E1"/>
    <w:rsid w:val="1DEC45ED"/>
    <w:rsid w:val="1E1D7E95"/>
    <w:rsid w:val="1E201A27"/>
    <w:rsid w:val="1E224747"/>
    <w:rsid w:val="1E304B88"/>
    <w:rsid w:val="1E3E02E7"/>
    <w:rsid w:val="1E6703B7"/>
    <w:rsid w:val="1E680B85"/>
    <w:rsid w:val="1E6A61E3"/>
    <w:rsid w:val="1E6B2336"/>
    <w:rsid w:val="1E7845CD"/>
    <w:rsid w:val="1E8028A0"/>
    <w:rsid w:val="1E8B032D"/>
    <w:rsid w:val="1E8B7AD0"/>
    <w:rsid w:val="1E8E3E30"/>
    <w:rsid w:val="1E9D4737"/>
    <w:rsid w:val="1E9D55A8"/>
    <w:rsid w:val="1EA13E87"/>
    <w:rsid w:val="1EC11B39"/>
    <w:rsid w:val="1ED15DFD"/>
    <w:rsid w:val="1ED874EC"/>
    <w:rsid w:val="1ED94E25"/>
    <w:rsid w:val="1EDB6C5F"/>
    <w:rsid w:val="1EE36B24"/>
    <w:rsid w:val="1EE551FB"/>
    <w:rsid w:val="1EE6740D"/>
    <w:rsid w:val="1EEC1621"/>
    <w:rsid w:val="1EED7A29"/>
    <w:rsid w:val="1F0D14F3"/>
    <w:rsid w:val="1F141EF2"/>
    <w:rsid w:val="1F210D56"/>
    <w:rsid w:val="1F303EA7"/>
    <w:rsid w:val="1F30637A"/>
    <w:rsid w:val="1F3111CE"/>
    <w:rsid w:val="1F3C6AF7"/>
    <w:rsid w:val="1F405E44"/>
    <w:rsid w:val="1F4A3D83"/>
    <w:rsid w:val="1F4E1005"/>
    <w:rsid w:val="1F4E681F"/>
    <w:rsid w:val="1F5324C1"/>
    <w:rsid w:val="1F561E2A"/>
    <w:rsid w:val="1F5E088A"/>
    <w:rsid w:val="1F661994"/>
    <w:rsid w:val="1F672A0E"/>
    <w:rsid w:val="1F6833F6"/>
    <w:rsid w:val="1F68659A"/>
    <w:rsid w:val="1F6B49F4"/>
    <w:rsid w:val="1F7959F4"/>
    <w:rsid w:val="1F7C19E4"/>
    <w:rsid w:val="1F83562C"/>
    <w:rsid w:val="1F8A5F10"/>
    <w:rsid w:val="1FA82FF9"/>
    <w:rsid w:val="1FAC192E"/>
    <w:rsid w:val="1FAD796D"/>
    <w:rsid w:val="1FB260BE"/>
    <w:rsid w:val="1FB54204"/>
    <w:rsid w:val="1FB63655"/>
    <w:rsid w:val="1FBD7AAE"/>
    <w:rsid w:val="1FBE77B2"/>
    <w:rsid w:val="1FC26AB9"/>
    <w:rsid w:val="1FC46F9E"/>
    <w:rsid w:val="1FC511F0"/>
    <w:rsid w:val="1FC7659B"/>
    <w:rsid w:val="1FE045AC"/>
    <w:rsid w:val="1FE40D72"/>
    <w:rsid w:val="1FE76FD3"/>
    <w:rsid w:val="1FE91483"/>
    <w:rsid w:val="1FED166B"/>
    <w:rsid w:val="1FF05FBA"/>
    <w:rsid w:val="1FF2649D"/>
    <w:rsid w:val="2000119F"/>
    <w:rsid w:val="20007200"/>
    <w:rsid w:val="20023827"/>
    <w:rsid w:val="20107ED3"/>
    <w:rsid w:val="201359DF"/>
    <w:rsid w:val="20140382"/>
    <w:rsid w:val="201C304F"/>
    <w:rsid w:val="201C690F"/>
    <w:rsid w:val="202637F5"/>
    <w:rsid w:val="20275ED1"/>
    <w:rsid w:val="203B1416"/>
    <w:rsid w:val="203C2005"/>
    <w:rsid w:val="20420995"/>
    <w:rsid w:val="20447B3E"/>
    <w:rsid w:val="204D7AED"/>
    <w:rsid w:val="204F595B"/>
    <w:rsid w:val="206301A7"/>
    <w:rsid w:val="20642E89"/>
    <w:rsid w:val="206F7CD5"/>
    <w:rsid w:val="207778B9"/>
    <w:rsid w:val="207E34E5"/>
    <w:rsid w:val="20850EC1"/>
    <w:rsid w:val="20911227"/>
    <w:rsid w:val="20934FE0"/>
    <w:rsid w:val="209A17A4"/>
    <w:rsid w:val="209E715A"/>
    <w:rsid w:val="20A70ABE"/>
    <w:rsid w:val="20B836F9"/>
    <w:rsid w:val="20BD741D"/>
    <w:rsid w:val="20BF422E"/>
    <w:rsid w:val="20C10077"/>
    <w:rsid w:val="20C261C8"/>
    <w:rsid w:val="20C96FD1"/>
    <w:rsid w:val="20CC2666"/>
    <w:rsid w:val="20D562D7"/>
    <w:rsid w:val="20D957D0"/>
    <w:rsid w:val="20DA5281"/>
    <w:rsid w:val="20E35BDE"/>
    <w:rsid w:val="20E65041"/>
    <w:rsid w:val="20E9348D"/>
    <w:rsid w:val="20EB3474"/>
    <w:rsid w:val="20EF451E"/>
    <w:rsid w:val="20F667B9"/>
    <w:rsid w:val="20F90A4D"/>
    <w:rsid w:val="20FB7568"/>
    <w:rsid w:val="210D2CDA"/>
    <w:rsid w:val="211C7EF8"/>
    <w:rsid w:val="212F6A59"/>
    <w:rsid w:val="21306305"/>
    <w:rsid w:val="21382ECF"/>
    <w:rsid w:val="213D54AD"/>
    <w:rsid w:val="214169BB"/>
    <w:rsid w:val="2144141D"/>
    <w:rsid w:val="214F3189"/>
    <w:rsid w:val="21504A40"/>
    <w:rsid w:val="215F7E39"/>
    <w:rsid w:val="217C7971"/>
    <w:rsid w:val="217D44BC"/>
    <w:rsid w:val="21936BCB"/>
    <w:rsid w:val="219619F8"/>
    <w:rsid w:val="21997056"/>
    <w:rsid w:val="219B2AEE"/>
    <w:rsid w:val="219D3F2A"/>
    <w:rsid w:val="21AB4F6A"/>
    <w:rsid w:val="21AB77F7"/>
    <w:rsid w:val="21AD30AE"/>
    <w:rsid w:val="21B50781"/>
    <w:rsid w:val="21BF03BC"/>
    <w:rsid w:val="21BF480E"/>
    <w:rsid w:val="21CA711F"/>
    <w:rsid w:val="21CB0E2A"/>
    <w:rsid w:val="21D06D34"/>
    <w:rsid w:val="21D372BD"/>
    <w:rsid w:val="21D52CEC"/>
    <w:rsid w:val="21D83EFE"/>
    <w:rsid w:val="21EB66C9"/>
    <w:rsid w:val="21EC5FC2"/>
    <w:rsid w:val="21F16C34"/>
    <w:rsid w:val="21F54612"/>
    <w:rsid w:val="21FF71D8"/>
    <w:rsid w:val="22021B37"/>
    <w:rsid w:val="2209399D"/>
    <w:rsid w:val="22101F8E"/>
    <w:rsid w:val="221E498F"/>
    <w:rsid w:val="2225227E"/>
    <w:rsid w:val="22315922"/>
    <w:rsid w:val="22343124"/>
    <w:rsid w:val="223A219C"/>
    <w:rsid w:val="224E39DE"/>
    <w:rsid w:val="224E74D0"/>
    <w:rsid w:val="225C1E49"/>
    <w:rsid w:val="227F5037"/>
    <w:rsid w:val="228041D7"/>
    <w:rsid w:val="228A008B"/>
    <w:rsid w:val="228D63FC"/>
    <w:rsid w:val="229A7E25"/>
    <w:rsid w:val="22AA0362"/>
    <w:rsid w:val="22B059F5"/>
    <w:rsid w:val="22B06BDB"/>
    <w:rsid w:val="22BA2D5C"/>
    <w:rsid w:val="22BC7DF2"/>
    <w:rsid w:val="22BD19A6"/>
    <w:rsid w:val="22BD504B"/>
    <w:rsid w:val="22D61781"/>
    <w:rsid w:val="22E1667F"/>
    <w:rsid w:val="22E30977"/>
    <w:rsid w:val="22E95A8D"/>
    <w:rsid w:val="22F017B2"/>
    <w:rsid w:val="22F7088E"/>
    <w:rsid w:val="22F97E5B"/>
    <w:rsid w:val="22FA647A"/>
    <w:rsid w:val="23042520"/>
    <w:rsid w:val="230B07F6"/>
    <w:rsid w:val="23143B37"/>
    <w:rsid w:val="231544D3"/>
    <w:rsid w:val="2315496B"/>
    <w:rsid w:val="231637F9"/>
    <w:rsid w:val="231B6225"/>
    <w:rsid w:val="23230E78"/>
    <w:rsid w:val="232A7369"/>
    <w:rsid w:val="232C27B2"/>
    <w:rsid w:val="232E7AA0"/>
    <w:rsid w:val="232F4B8E"/>
    <w:rsid w:val="233027B0"/>
    <w:rsid w:val="23415924"/>
    <w:rsid w:val="23566DDF"/>
    <w:rsid w:val="23572E7E"/>
    <w:rsid w:val="235924CA"/>
    <w:rsid w:val="23592D87"/>
    <w:rsid w:val="235D75EC"/>
    <w:rsid w:val="235F162F"/>
    <w:rsid w:val="23673863"/>
    <w:rsid w:val="236A053E"/>
    <w:rsid w:val="236D4F13"/>
    <w:rsid w:val="237B7D6C"/>
    <w:rsid w:val="23837B67"/>
    <w:rsid w:val="23857493"/>
    <w:rsid w:val="238755B6"/>
    <w:rsid w:val="23885214"/>
    <w:rsid w:val="238B65DE"/>
    <w:rsid w:val="238D7AEF"/>
    <w:rsid w:val="239130F2"/>
    <w:rsid w:val="239B728F"/>
    <w:rsid w:val="23AE6E9E"/>
    <w:rsid w:val="23BD6F6C"/>
    <w:rsid w:val="23C62FD3"/>
    <w:rsid w:val="23C80F4A"/>
    <w:rsid w:val="23CE5D21"/>
    <w:rsid w:val="23D160BB"/>
    <w:rsid w:val="23D33566"/>
    <w:rsid w:val="23D9762E"/>
    <w:rsid w:val="23DF2C6B"/>
    <w:rsid w:val="23E52298"/>
    <w:rsid w:val="23F06611"/>
    <w:rsid w:val="240E5D2B"/>
    <w:rsid w:val="24137B5B"/>
    <w:rsid w:val="24176341"/>
    <w:rsid w:val="24211333"/>
    <w:rsid w:val="242461D7"/>
    <w:rsid w:val="24255B0A"/>
    <w:rsid w:val="242778EB"/>
    <w:rsid w:val="242A43E1"/>
    <w:rsid w:val="242C04D9"/>
    <w:rsid w:val="242E2FF6"/>
    <w:rsid w:val="242E7ECB"/>
    <w:rsid w:val="243E6A2B"/>
    <w:rsid w:val="24401E98"/>
    <w:rsid w:val="244F2484"/>
    <w:rsid w:val="24506BD9"/>
    <w:rsid w:val="24574CEB"/>
    <w:rsid w:val="245D41D2"/>
    <w:rsid w:val="24667266"/>
    <w:rsid w:val="246E05AE"/>
    <w:rsid w:val="24731A96"/>
    <w:rsid w:val="247973F2"/>
    <w:rsid w:val="247A5C3A"/>
    <w:rsid w:val="247C5EE2"/>
    <w:rsid w:val="247F6CC6"/>
    <w:rsid w:val="24837A35"/>
    <w:rsid w:val="24857E83"/>
    <w:rsid w:val="248654B3"/>
    <w:rsid w:val="248907B2"/>
    <w:rsid w:val="249A5E20"/>
    <w:rsid w:val="249C2676"/>
    <w:rsid w:val="249C6208"/>
    <w:rsid w:val="249E39E8"/>
    <w:rsid w:val="24A20ED0"/>
    <w:rsid w:val="24A34E4A"/>
    <w:rsid w:val="24AC41BF"/>
    <w:rsid w:val="24BD38BA"/>
    <w:rsid w:val="24C0685F"/>
    <w:rsid w:val="24CD37D4"/>
    <w:rsid w:val="24D20A06"/>
    <w:rsid w:val="24D51CDF"/>
    <w:rsid w:val="24E57853"/>
    <w:rsid w:val="24F17428"/>
    <w:rsid w:val="250253B9"/>
    <w:rsid w:val="250C5C6A"/>
    <w:rsid w:val="251E0656"/>
    <w:rsid w:val="252053F9"/>
    <w:rsid w:val="25304AD5"/>
    <w:rsid w:val="25395126"/>
    <w:rsid w:val="25467DBB"/>
    <w:rsid w:val="25473E3C"/>
    <w:rsid w:val="254C4068"/>
    <w:rsid w:val="254E34FC"/>
    <w:rsid w:val="25515E07"/>
    <w:rsid w:val="25584ADE"/>
    <w:rsid w:val="255E0BEA"/>
    <w:rsid w:val="256343AC"/>
    <w:rsid w:val="25771B32"/>
    <w:rsid w:val="257C1A72"/>
    <w:rsid w:val="257F18B5"/>
    <w:rsid w:val="25805FF5"/>
    <w:rsid w:val="25814C5A"/>
    <w:rsid w:val="258A3283"/>
    <w:rsid w:val="258E66DC"/>
    <w:rsid w:val="258F15BB"/>
    <w:rsid w:val="259231BD"/>
    <w:rsid w:val="25A77DD4"/>
    <w:rsid w:val="25B92ECC"/>
    <w:rsid w:val="25BB6C64"/>
    <w:rsid w:val="25C87522"/>
    <w:rsid w:val="25C97301"/>
    <w:rsid w:val="25CC4C1C"/>
    <w:rsid w:val="25CD7961"/>
    <w:rsid w:val="25D64403"/>
    <w:rsid w:val="25F51596"/>
    <w:rsid w:val="25F67042"/>
    <w:rsid w:val="260A55DA"/>
    <w:rsid w:val="260B255C"/>
    <w:rsid w:val="2611495B"/>
    <w:rsid w:val="2618762A"/>
    <w:rsid w:val="26217848"/>
    <w:rsid w:val="262E20E8"/>
    <w:rsid w:val="262E34C1"/>
    <w:rsid w:val="2640682F"/>
    <w:rsid w:val="26472F6E"/>
    <w:rsid w:val="264F2FA3"/>
    <w:rsid w:val="26510DB8"/>
    <w:rsid w:val="26531A21"/>
    <w:rsid w:val="26626905"/>
    <w:rsid w:val="26667EB2"/>
    <w:rsid w:val="266B1FB8"/>
    <w:rsid w:val="267B7FD0"/>
    <w:rsid w:val="267E518B"/>
    <w:rsid w:val="26872779"/>
    <w:rsid w:val="26874AF8"/>
    <w:rsid w:val="26993F8A"/>
    <w:rsid w:val="269B3F13"/>
    <w:rsid w:val="26A4288C"/>
    <w:rsid w:val="26A63366"/>
    <w:rsid w:val="26A968B5"/>
    <w:rsid w:val="26AC5BFD"/>
    <w:rsid w:val="26BA59F2"/>
    <w:rsid w:val="26C36DE5"/>
    <w:rsid w:val="26C3702C"/>
    <w:rsid w:val="26C9404D"/>
    <w:rsid w:val="26CD53A8"/>
    <w:rsid w:val="26D323BB"/>
    <w:rsid w:val="26D45590"/>
    <w:rsid w:val="26E35D5D"/>
    <w:rsid w:val="26F30F76"/>
    <w:rsid w:val="26F40E3F"/>
    <w:rsid w:val="26F40EBD"/>
    <w:rsid w:val="26FA2DE3"/>
    <w:rsid w:val="26FF74CD"/>
    <w:rsid w:val="27121C64"/>
    <w:rsid w:val="27125B0D"/>
    <w:rsid w:val="27130E1A"/>
    <w:rsid w:val="27222699"/>
    <w:rsid w:val="272A3F42"/>
    <w:rsid w:val="273216D6"/>
    <w:rsid w:val="273D1CBA"/>
    <w:rsid w:val="27462901"/>
    <w:rsid w:val="2749419F"/>
    <w:rsid w:val="274A7B1A"/>
    <w:rsid w:val="275439E1"/>
    <w:rsid w:val="275658F1"/>
    <w:rsid w:val="276320D7"/>
    <w:rsid w:val="276C0A59"/>
    <w:rsid w:val="278A6416"/>
    <w:rsid w:val="279408D2"/>
    <w:rsid w:val="279A2ED3"/>
    <w:rsid w:val="27A23025"/>
    <w:rsid w:val="27B02558"/>
    <w:rsid w:val="27B03EC1"/>
    <w:rsid w:val="27B91021"/>
    <w:rsid w:val="27BE074A"/>
    <w:rsid w:val="27C06D17"/>
    <w:rsid w:val="27C66099"/>
    <w:rsid w:val="27CA7CDA"/>
    <w:rsid w:val="27FE4240"/>
    <w:rsid w:val="280008FF"/>
    <w:rsid w:val="28050D91"/>
    <w:rsid w:val="280F7BFD"/>
    <w:rsid w:val="281035C6"/>
    <w:rsid w:val="28140E2A"/>
    <w:rsid w:val="28255041"/>
    <w:rsid w:val="28255C53"/>
    <w:rsid w:val="283A1E3E"/>
    <w:rsid w:val="284543A1"/>
    <w:rsid w:val="28553E1D"/>
    <w:rsid w:val="286B3B61"/>
    <w:rsid w:val="28765DD5"/>
    <w:rsid w:val="28821314"/>
    <w:rsid w:val="2891501A"/>
    <w:rsid w:val="28937E6D"/>
    <w:rsid w:val="28950D96"/>
    <w:rsid w:val="28AD2029"/>
    <w:rsid w:val="28B0025C"/>
    <w:rsid w:val="28B220F4"/>
    <w:rsid w:val="28C075A4"/>
    <w:rsid w:val="28CE2A8C"/>
    <w:rsid w:val="28D139F1"/>
    <w:rsid w:val="28D5169B"/>
    <w:rsid w:val="28D55FC2"/>
    <w:rsid w:val="28DA6C60"/>
    <w:rsid w:val="28DB0A30"/>
    <w:rsid w:val="28F33F0D"/>
    <w:rsid w:val="28F72DB8"/>
    <w:rsid w:val="28F95F71"/>
    <w:rsid w:val="28FE6A8A"/>
    <w:rsid w:val="290517ED"/>
    <w:rsid w:val="290753B9"/>
    <w:rsid w:val="291415DC"/>
    <w:rsid w:val="291712DF"/>
    <w:rsid w:val="29192BE8"/>
    <w:rsid w:val="291C432F"/>
    <w:rsid w:val="291D21EF"/>
    <w:rsid w:val="29264B1F"/>
    <w:rsid w:val="292A375F"/>
    <w:rsid w:val="29316984"/>
    <w:rsid w:val="293310A0"/>
    <w:rsid w:val="2938092A"/>
    <w:rsid w:val="293966D9"/>
    <w:rsid w:val="29425246"/>
    <w:rsid w:val="2946144E"/>
    <w:rsid w:val="294A5BC8"/>
    <w:rsid w:val="29504176"/>
    <w:rsid w:val="295968BD"/>
    <w:rsid w:val="296865F6"/>
    <w:rsid w:val="296B20A7"/>
    <w:rsid w:val="297D1A8B"/>
    <w:rsid w:val="29981CF5"/>
    <w:rsid w:val="29A4634A"/>
    <w:rsid w:val="29A84DD1"/>
    <w:rsid w:val="29AA2390"/>
    <w:rsid w:val="29B85AFC"/>
    <w:rsid w:val="29BB74AF"/>
    <w:rsid w:val="29BC2AA4"/>
    <w:rsid w:val="29CD2270"/>
    <w:rsid w:val="29D22D87"/>
    <w:rsid w:val="29DA58FD"/>
    <w:rsid w:val="29DB020F"/>
    <w:rsid w:val="29EA021B"/>
    <w:rsid w:val="29EB2636"/>
    <w:rsid w:val="29ED4F50"/>
    <w:rsid w:val="29F26903"/>
    <w:rsid w:val="2A06427E"/>
    <w:rsid w:val="2A0F1A72"/>
    <w:rsid w:val="2A0F7591"/>
    <w:rsid w:val="2A13176E"/>
    <w:rsid w:val="2A216713"/>
    <w:rsid w:val="2A222BC6"/>
    <w:rsid w:val="2A3B063B"/>
    <w:rsid w:val="2A49761F"/>
    <w:rsid w:val="2A4C74B8"/>
    <w:rsid w:val="2A4F49D1"/>
    <w:rsid w:val="2A500712"/>
    <w:rsid w:val="2A627A42"/>
    <w:rsid w:val="2A630308"/>
    <w:rsid w:val="2A676AD0"/>
    <w:rsid w:val="2A687AA6"/>
    <w:rsid w:val="2A6A2073"/>
    <w:rsid w:val="2A770CC7"/>
    <w:rsid w:val="2A7A022E"/>
    <w:rsid w:val="2A8A27A6"/>
    <w:rsid w:val="2A8B1FCC"/>
    <w:rsid w:val="2A9303DF"/>
    <w:rsid w:val="2A9A66D4"/>
    <w:rsid w:val="2AA12DD3"/>
    <w:rsid w:val="2AA81B8E"/>
    <w:rsid w:val="2AAA29AB"/>
    <w:rsid w:val="2AAC36BD"/>
    <w:rsid w:val="2AB04937"/>
    <w:rsid w:val="2AB86677"/>
    <w:rsid w:val="2ABC2E55"/>
    <w:rsid w:val="2ACF5AEC"/>
    <w:rsid w:val="2AD62AB0"/>
    <w:rsid w:val="2ADC1447"/>
    <w:rsid w:val="2ADE1583"/>
    <w:rsid w:val="2AE70523"/>
    <w:rsid w:val="2AF12CDF"/>
    <w:rsid w:val="2AF27DCB"/>
    <w:rsid w:val="2B0427A8"/>
    <w:rsid w:val="2B0726A6"/>
    <w:rsid w:val="2B0C6B23"/>
    <w:rsid w:val="2B1D6F4B"/>
    <w:rsid w:val="2B2D1363"/>
    <w:rsid w:val="2B306C2A"/>
    <w:rsid w:val="2B335E16"/>
    <w:rsid w:val="2B42025A"/>
    <w:rsid w:val="2B450516"/>
    <w:rsid w:val="2B4526E2"/>
    <w:rsid w:val="2B4722C4"/>
    <w:rsid w:val="2B4F36CA"/>
    <w:rsid w:val="2B592A46"/>
    <w:rsid w:val="2B5B7165"/>
    <w:rsid w:val="2B611B55"/>
    <w:rsid w:val="2B686C09"/>
    <w:rsid w:val="2B795BD8"/>
    <w:rsid w:val="2B8759DF"/>
    <w:rsid w:val="2B8B34AB"/>
    <w:rsid w:val="2B914C5E"/>
    <w:rsid w:val="2BA252E6"/>
    <w:rsid w:val="2BB44220"/>
    <w:rsid w:val="2BB61EA7"/>
    <w:rsid w:val="2BBA6EF5"/>
    <w:rsid w:val="2BC03979"/>
    <w:rsid w:val="2BC941AF"/>
    <w:rsid w:val="2BDC02CD"/>
    <w:rsid w:val="2BE64A3E"/>
    <w:rsid w:val="2BEC4F7F"/>
    <w:rsid w:val="2BF01DD3"/>
    <w:rsid w:val="2BF51B27"/>
    <w:rsid w:val="2C11705A"/>
    <w:rsid w:val="2C1216FD"/>
    <w:rsid w:val="2C1F2C4F"/>
    <w:rsid w:val="2C253658"/>
    <w:rsid w:val="2C395B9E"/>
    <w:rsid w:val="2C3C5EFC"/>
    <w:rsid w:val="2C416890"/>
    <w:rsid w:val="2C4725E8"/>
    <w:rsid w:val="2C4D767D"/>
    <w:rsid w:val="2C5514C6"/>
    <w:rsid w:val="2C5B6D3D"/>
    <w:rsid w:val="2C5C2032"/>
    <w:rsid w:val="2C5F0C97"/>
    <w:rsid w:val="2C677A44"/>
    <w:rsid w:val="2C6B4038"/>
    <w:rsid w:val="2C72088D"/>
    <w:rsid w:val="2C7A3BB0"/>
    <w:rsid w:val="2C7B3727"/>
    <w:rsid w:val="2C7D6665"/>
    <w:rsid w:val="2C7E4570"/>
    <w:rsid w:val="2C865A05"/>
    <w:rsid w:val="2C8B0557"/>
    <w:rsid w:val="2C9A28D3"/>
    <w:rsid w:val="2CBC4209"/>
    <w:rsid w:val="2CC12D54"/>
    <w:rsid w:val="2CC9742A"/>
    <w:rsid w:val="2CCB3003"/>
    <w:rsid w:val="2CDA4FDA"/>
    <w:rsid w:val="2CDC7091"/>
    <w:rsid w:val="2CE128DC"/>
    <w:rsid w:val="2CE16D71"/>
    <w:rsid w:val="2CFD5C64"/>
    <w:rsid w:val="2D0128E8"/>
    <w:rsid w:val="2D0450C7"/>
    <w:rsid w:val="2D0C5A2F"/>
    <w:rsid w:val="2D0E231B"/>
    <w:rsid w:val="2D1A1A6B"/>
    <w:rsid w:val="2D1A4915"/>
    <w:rsid w:val="2D205533"/>
    <w:rsid w:val="2D306B85"/>
    <w:rsid w:val="2D323D75"/>
    <w:rsid w:val="2D400A9F"/>
    <w:rsid w:val="2D540857"/>
    <w:rsid w:val="2D590555"/>
    <w:rsid w:val="2D726428"/>
    <w:rsid w:val="2D7A06F1"/>
    <w:rsid w:val="2D8151A4"/>
    <w:rsid w:val="2DA02E9C"/>
    <w:rsid w:val="2DBF0C3E"/>
    <w:rsid w:val="2DBF1601"/>
    <w:rsid w:val="2DBF4C3A"/>
    <w:rsid w:val="2DC464AC"/>
    <w:rsid w:val="2DD06AF3"/>
    <w:rsid w:val="2DF04CFF"/>
    <w:rsid w:val="2DF6091F"/>
    <w:rsid w:val="2DF77C3F"/>
    <w:rsid w:val="2DFA6574"/>
    <w:rsid w:val="2DFB6F69"/>
    <w:rsid w:val="2E001622"/>
    <w:rsid w:val="2E040A80"/>
    <w:rsid w:val="2E095C19"/>
    <w:rsid w:val="2E0B6FBA"/>
    <w:rsid w:val="2E0F3A78"/>
    <w:rsid w:val="2E1530A6"/>
    <w:rsid w:val="2E160B5E"/>
    <w:rsid w:val="2E190FE7"/>
    <w:rsid w:val="2E222C3C"/>
    <w:rsid w:val="2E2630D7"/>
    <w:rsid w:val="2E2771EC"/>
    <w:rsid w:val="2E2806DD"/>
    <w:rsid w:val="2E2A4425"/>
    <w:rsid w:val="2E2F3046"/>
    <w:rsid w:val="2E302808"/>
    <w:rsid w:val="2E3A3030"/>
    <w:rsid w:val="2E452632"/>
    <w:rsid w:val="2E46069F"/>
    <w:rsid w:val="2E5608F9"/>
    <w:rsid w:val="2E6B29AA"/>
    <w:rsid w:val="2E6F4813"/>
    <w:rsid w:val="2E705752"/>
    <w:rsid w:val="2E7A5E34"/>
    <w:rsid w:val="2E7B65BB"/>
    <w:rsid w:val="2E855C37"/>
    <w:rsid w:val="2E8F09A4"/>
    <w:rsid w:val="2E993370"/>
    <w:rsid w:val="2E9A086A"/>
    <w:rsid w:val="2EA049A8"/>
    <w:rsid w:val="2EA26ABE"/>
    <w:rsid w:val="2EA74B75"/>
    <w:rsid w:val="2EB61295"/>
    <w:rsid w:val="2EC414ED"/>
    <w:rsid w:val="2EC71A13"/>
    <w:rsid w:val="2EDC714E"/>
    <w:rsid w:val="2EEA307E"/>
    <w:rsid w:val="2EEF6737"/>
    <w:rsid w:val="2EF276DC"/>
    <w:rsid w:val="2EF53C20"/>
    <w:rsid w:val="2EFB16B9"/>
    <w:rsid w:val="2EFC5DDD"/>
    <w:rsid w:val="2F002CCF"/>
    <w:rsid w:val="2F0160A3"/>
    <w:rsid w:val="2F177DD6"/>
    <w:rsid w:val="2F18561C"/>
    <w:rsid w:val="2F1A491A"/>
    <w:rsid w:val="2F2960CC"/>
    <w:rsid w:val="2F2F3D52"/>
    <w:rsid w:val="2F3B7B8B"/>
    <w:rsid w:val="2F44254B"/>
    <w:rsid w:val="2F4530B9"/>
    <w:rsid w:val="2F4B7821"/>
    <w:rsid w:val="2F526911"/>
    <w:rsid w:val="2F5741FD"/>
    <w:rsid w:val="2F57587A"/>
    <w:rsid w:val="2F615954"/>
    <w:rsid w:val="2F712CF7"/>
    <w:rsid w:val="2F805714"/>
    <w:rsid w:val="2F8640C4"/>
    <w:rsid w:val="2F8E5F5C"/>
    <w:rsid w:val="2F921FAC"/>
    <w:rsid w:val="2FA21231"/>
    <w:rsid w:val="2FAD4759"/>
    <w:rsid w:val="2FAD5866"/>
    <w:rsid w:val="2FCA0967"/>
    <w:rsid w:val="2FDB17E1"/>
    <w:rsid w:val="2FE20568"/>
    <w:rsid w:val="2FE37171"/>
    <w:rsid w:val="2FF117AD"/>
    <w:rsid w:val="2FF37346"/>
    <w:rsid w:val="2FF95633"/>
    <w:rsid w:val="30010F70"/>
    <w:rsid w:val="300F7F13"/>
    <w:rsid w:val="30151A88"/>
    <w:rsid w:val="301E3C00"/>
    <w:rsid w:val="302757BF"/>
    <w:rsid w:val="302E1CAD"/>
    <w:rsid w:val="3035772C"/>
    <w:rsid w:val="303F616B"/>
    <w:rsid w:val="3045713F"/>
    <w:rsid w:val="30486EA7"/>
    <w:rsid w:val="30500A5C"/>
    <w:rsid w:val="30752E77"/>
    <w:rsid w:val="308018A6"/>
    <w:rsid w:val="30804E19"/>
    <w:rsid w:val="3090288F"/>
    <w:rsid w:val="30966979"/>
    <w:rsid w:val="309B0CFB"/>
    <w:rsid w:val="309B2EEC"/>
    <w:rsid w:val="309E4272"/>
    <w:rsid w:val="30AE56DC"/>
    <w:rsid w:val="30B7307E"/>
    <w:rsid w:val="30C21A0E"/>
    <w:rsid w:val="30DC45E8"/>
    <w:rsid w:val="30DD6027"/>
    <w:rsid w:val="30DE16AB"/>
    <w:rsid w:val="30E1221A"/>
    <w:rsid w:val="30E734EF"/>
    <w:rsid w:val="30F24AB3"/>
    <w:rsid w:val="30F44A95"/>
    <w:rsid w:val="30F77A98"/>
    <w:rsid w:val="30FA21D8"/>
    <w:rsid w:val="30FC2A23"/>
    <w:rsid w:val="31197ABC"/>
    <w:rsid w:val="311D5B14"/>
    <w:rsid w:val="312D1F98"/>
    <w:rsid w:val="313A7B85"/>
    <w:rsid w:val="31454E97"/>
    <w:rsid w:val="314A019C"/>
    <w:rsid w:val="314E27D6"/>
    <w:rsid w:val="31584385"/>
    <w:rsid w:val="315D7DEC"/>
    <w:rsid w:val="31647576"/>
    <w:rsid w:val="316547C5"/>
    <w:rsid w:val="31665E5D"/>
    <w:rsid w:val="316B0F75"/>
    <w:rsid w:val="316D6950"/>
    <w:rsid w:val="3171328C"/>
    <w:rsid w:val="317477EC"/>
    <w:rsid w:val="31822EAF"/>
    <w:rsid w:val="31840D12"/>
    <w:rsid w:val="31846FF6"/>
    <w:rsid w:val="319268E9"/>
    <w:rsid w:val="319B3834"/>
    <w:rsid w:val="319D6381"/>
    <w:rsid w:val="31A53A0B"/>
    <w:rsid w:val="31A7307B"/>
    <w:rsid w:val="31A94576"/>
    <w:rsid w:val="31AB3C43"/>
    <w:rsid w:val="31B23BA8"/>
    <w:rsid w:val="31C363A1"/>
    <w:rsid w:val="31CA5CF8"/>
    <w:rsid w:val="31CB26CD"/>
    <w:rsid w:val="31D06A52"/>
    <w:rsid w:val="31E302B9"/>
    <w:rsid w:val="31F20023"/>
    <w:rsid w:val="31FA7AEE"/>
    <w:rsid w:val="31FB60C5"/>
    <w:rsid w:val="3209100C"/>
    <w:rsid w:val="321E250B"/>
    <w:rsid w:val="32226597"/>
    <w:rsid w:val="322A5516"/>
    <w:rsid w:val="3238698E"/>
    <w:rsid w:val="324968A9"/>
    <w:rsid w:val="324F1DD8"/>
    <w:rsid w:val="32544043"/>
    <w:rsid w:val="3259293C"/>
    <w:rsid w:val="325E5514"/>
    <w:rsid w:val="325F4D9F"/>
    <w:rsid w:val="32666821"/>
    <w:rsid w:val="326A18B1"/>
    <w:rsid w:val="326B661B"/>
    <w:rsid w:val="326B7BBB"/>
    <w:rsid w:val="3272101B"/>
    <w:rsid w:val="327A3DD6"/>
    <w:rsid w:val="327E6AD8"/>
    <w:rsid w:val="32946A84"/>
    <w:rsid w:val="32B22C9D"/>
    <w:rsid w:val="32BC6631"/>
    <w:rsid w:val="32C05B65"/>
    <w:rsid w:val="32C6418D"/>
    <w:rsid w:val="32D14A7F"/>
    <w:rsid w:val="32D26AE6"/>
    <w:rsid w:val="32D733FA"/>
    <w:rsid w:val="32DE353D"/>
    <w:rsid w:val="32E148E8"/>
    <w:rsid w:val="32E343F6"/>
    <w:rsid w:val="32E921F0"/>
    <w:rsid w:val="32F76D5D"/>
    <w:rsid w:val="32F86450"/>
    <w:rsid w:val="330244A4"/>
    <w:rsid w:val="330F1E44"/>
    <w:rsid w:val="33153FC5"/>
    <w:rsid w:val="331B37C6"/>
    <w:rsid w:val="331C390F"/>
    <w:rsid w:val="333A0536"/>
    <w:rsid w:val="333E0FE1"/>
    <w:rsid w:val="334D7767"/>
    <w:rsid w:val="33610DDA"/>
    <w:rsid w:val="3362171F"/>
    <w:rsid w:val="3366319E"/>
    <w:rsid w:val="33767D1F"/>
    <w:rsid w:val="337F446B"/>
    <w:rsid w:val="338E29B0"/>
    <w:rsid w:val="339902E6"/>
    <w:rsid w:val="339D35FC"/>
    <w:rsid w:val="33A156DE"/>
    <w:rsid w:val="33B52233"/>
    <w:rsid w:val="33B545C5"/>
    <w:rsid w:val="33B70359"/>
    <w:rsid w:val="33BA1B32"/>
    <w:rsid w:val="33C55CF6"/>
    <w:rsid w:val="33CB205A"/>
    <w:rsid w:val="33D451B9"/>
    <w:rsid w:val="33E20DF0"/>
    <w:rsid w:val="33E570DD"/>
    <w:rsid w:val="33E97229"/>
    <w:rsid w:val="33EE5E44"/>
    <w:rsid w:val="33F81D16"/>
    <w:rsid w:val="33FE4E44"/>
    <w:rsid w:val="34004C51"/>
    <w:rsid w:val="34087429"/>
    <w:rsid w:val="340B5F03"/>
    <w:rsid w:val="3411600B"/>
    <w:rsid w:val="341315B5"/>
    <w:rsid w:val="34147AA7"/>
    <w:rsid w:val="34182B66"/>
    <w:rsid w:val="34260D3D"/>
    <w:rsid w:val="342D3CE2"/>
    <w:rsid w:val="34343D6C"/>
    <w:rsid w:val="34347DC5"/>
    <w:rsid w:val="34380493"/>
    <w:rsid w:val="34463967"/>
    <w:rsid w:val="344C08D2"/>
    <w:rsid w:val="34533617"/>
    <w:rsid w:val="345543D1"/>
    <w:rsid w:val="345A7367"/>
    <w:rsid w:val="345D2CD0"/>
    <w:rsid w:val="346C0AEA"/>
    <w:rsid w:val="347F540F"/>
    <w:rsid w:val="347F7C43"/>
    <w:rsid w:val="34863322"/>
    <w:rsid w:val="34885DB3"/>
    <w:rsid w:val="348F7A0E"/>
    <w:rsid w:val="349A0B7D"/>
    <w:rsid w:val="34A851E8"/>
    <w:rsid w:val="34B51A96"/>
    <w:rsid w:val="34C800BD"/>
    <w:rsid w:val="34CC1DC7"/>
    <w:rsid w:val="34D47C8A"/>
    <w:rsid w:val="34DB0CAC"/>
    <w:rsid w:val="34DD3DF9"/>
    <w:rsid w:val="34E972FC"/>
    <w:rsid w:val="34F83EF3"/>
    <w:rsid w:val="34F953E0"/>
    <w:rsid w:val="34FE2811"/>
    <w:rsid w:val="34FF2166"/>
    <w:rsid w:val="350B69C5"/>
    <w:rsid w:val="351C075B"/>
    <w:rsid w:val="35233F18"/>
    <w:rsid w:val="3524348B"/>
    <w:rsid w:val="352B5169"/>
    <w:rsid w:val="35333FF2"/>
    <w:rsid w:val="353C4905"/>
    <w:rsid w:val="353C75ED"/>
    <w:rsid w:val="353E791E"/>
    <w:rsid w:val="354008AB"/>
    <w:rsid w:val="354966A2"/>
    <w:rsid w:val="354C7B38"/>
    <w:rsid w:val="354F28B8"/>
    <w:rsid w:val="35562F9E"/>
    <w:rsid w:val="35581BA8"/>
    <w:rsid w:val="355B280E"/>
    <w:rsid w:val="355B3BD4"/>
    <w:rsid w:val="355D687A"/>
    <w:rsid w:val="356161F3"/>
    <w:rsid w:val="35691707"/>
    <w:rsid w:val="35744059"/>
    <w:rsid w:val="35771AC2"/>
    <w:rsid w:val="357960B4"/>
    <w:rsid w:val="358618B0"/>
    <w:rsid w:val="3589285D"/>
    <w:rsid w:val="359C1F6C"/>
    <w:rsid w:val="35A0338E"/>
    <w:rsid w:val="35A16611"/>
    <w:rsid w:val="35A31A0A"/>
    <w:rsid w:val="35AB5D7D"/>
    <w:rsid w:val="35B31B82"/>
    <w:rsid w:val="35C154C0"/>
    <w:rsid w:val="35C7584B"/>
    <w:rsid w:val="35D31DE1"/>
    <w:rsid w:val="35DD2AEE"/>
    <w:rsid w:val="35EA6509"/>
    <w:rsid w:val="35ED04DC"/>
    <w:rsid w:val="35F44E5C"/>
    <w:rsid w:val="35F45994"/>
    <w:rsid w:val="35F637A3"/>
    <w:rsid w:val="3602050E"/>
    <w:rsid w:val="36101A49"/>
    <w:rsid w:val="36170C33"/>
    <w:rsid w:val="361A2F27"/>
    <w:rsid w:val="36265F04"/>
    <w:rsid w:val="36266913"/>
    <w:rsid w:val="36297754"/>
    <w:rsid w:val="363F4D43"/>
    <w:rsid w:val="36407BF2"/>
    <w:rsid w:val="36486576"/>
    <w:rsid w:val="364B2312"/>
    <w:rsid w:val="365955CF"/>
    <w:rsid w:val="365F765A"/>
    <w:rsid w:val="36627C0A"/>
    <w:rsid w:val="36693B36"/>
    <w:rsid w:val="366B0AAA"/>
    <w:rsid w:val="366B6257"/>
    <w:rsid w:val="366D49A8"/>
    <w:rsid w:val="36752210"/>
    <w:rsid w:val="36820E97"/>
    <w:rsid w:val="36884498"/>
    <w:rsid w:val="36922B55"/>
    <w:rsid w:val="36991125"/>
    <w:rsid w:val="36A312B2"/>
    <w:rsid w:val="36A9265A"/>
    <w:rsid w:val="36B121C7"/>
    <w:rsid w:val="36B2486C"/>
    <w:rsid w:val="36BA14F4"/>
    <w:rsid w:val="36D009E5"/>
    <w:rsid w:val="36D27C18"/>
    <w:rsid w:val="36D512A9"/>
    <w:rsid w:val="36D934D3"/>
    <w:rsid w:val="36D94280"/>
    <w:rsid w:val="36E07ED3"/>
    <w:rsid w:val="36F414F3"/>
    <w:rsid w:val="37002C93"/>
    <w:rsid w:val="370974B4"/>
    <w:rsid w:val="370E6CCD"/>
    <w:rsid w:val="371A5A8E"/>
    <w:rsid w:val="371B03AE"/>
    <w:rsid w:val="371E6151"/>
    <w:rsid w:val="37277663"/>
    <w:rsid w:val="372A07F2"/>
    <w:rsid w:val="37357964"/>
    <w:rsid w:val="373D6F58"/>
    <w:rsid w:val="37446333"/>
    <w:rsid w:val="37446A77"/>
    <w:rsid w:val="374D0B20"/>
    <w:rsid w:val="37557969"/>
    <w:rsid w:val="375D4473"/>
    <w:rsid w:val="37615F3C"/>
    <w:rsid w:val="376B106B"/>
    <w:rsid w:val="377963D6"/>
    <w:rsid w:val="378772DD"/>
    <w:rsid w:val="378A731A"/>
    <w:rsid w:val="378E3617"/>
    <w:rsid w:val="37931A90"/>
    <w:rsid w:val="37A4082B"/>
    <w:rsid w:val="37A4627C"/>
    <w:rsid w:val="37A530D5"/>
    <w:rsid w:val="37A643C8"/>
    <w:rsid w:val="37AE534B"/>
    <w:rsid w:val="37B1214B"/>
    <w:rsid w:val="37B5292C"/>
    <w:rsid w:val="37BA6351"/>
    <w:rsid w:val="37C93B72"/>
    <w:rsid w:val="37CE582E"/>
    <w:rsid w:val="37D644F2"/>
    <w:rsid w:val="37D647D6"/>
    <w:rsid w:val="37E22653"/>
    <w:rsid w:val="37EF1B98"/>
    <w:rsid w:val="37F311D3"/>
    <w:rsid w:val="37F7242F"/>
    <w:rsid w:val="37FD1EC6"/>
    <w:rsid w:val="380579FE"/>
    <w:rsid w:val="380722E0"/>
    <w:rsid w:val="380A2EB4"/>
    <w:rsid w:val="38157509"/>
    <w:rsid w:val="381D5340"/>
    <w:rsid w:val="382150C9"/>
    <w:rsid w:val="382372FE"/>
    <w:rsid w:val="38284CDE"/>
    <w:rsid w:val="382D297A"/>
    <w:rsid w:val="382F19E6"/>
    <w:rsid w:val="383A0A88"/>
    <w:rsid w:val="383B2EED"/>
    <w:rsid w:val="384C2D57"/>
    <w:rsid w:val="38557E21"/>
    <w:rsid w:val="3856501D"/>
    <w:rsid w:val="38590DD6"/>
    <w:rsid w:val="385F47DB"/>
    <w:rsid w:val="386A1921"/>
    <w:rsid w:val="386B37B5"/>
    <w:rsid w:val="386B38FB"/>
    <w:rsid w:val="38775820"/>
    <w:rsid w:val="387F0A30"/>
    <w:rsid w:val="38876F05"/>
    <w:rsid w:val="38894DA5"/>
    <w:rsid w:val="389121D9"/>
    <w:rsid w:val="38913DAB"/>
    <w:rsid w:val="38981AB5"/>
    <w:rsid w:val="389B38B1"/>
    <w:rsid w:val="38A40C18"/>
    <w:rsid w:val="38A61C5A"/>
    <w:rsid w:val="38AB306B"/>
    <w:rsid w:val="38B9506E"/>
    <w:rsid w:val="38BF2270"/>
    <w:rsid w:val="38C0788B"/>
    <w:rsid w:val="38C33701"/>
    <w:rsid w:val="38C43916"/>
    <w:rsid w:val="38D05F26"/>
    <w:rsid w:val="38D124F5"/>
    <w:rsid w:val="38D504F4"/>
    <w:rsid w:val="38D95A84"/>
    <w:rsid w:val="38E11AA1"/>
    <w:rsid w:val="38E45926"/>
    <w:rsid w:val="38E46191"/>
    <w:rsid w:val="38EB7945"/>
    <w:rsid w:val="38F50C85"/>
    <w:rsid w:val="39065A02"/>
    <w:rsid w:val="392B6A4C"/>
    <w:rsid w:val="393544DD"/>
    <w:rsid w:val="393962EC"/>
    <w:rsid w:val="393F6CD7"/>
    <w:rsid w:val="39454899"/>
    <w:rsid w:val="39457868"/>
    <w:rsid w:val="394935B8"/>
    <w:rsid w:val="394C557A"/>
    <w:rsid w:val="3952190F"/>
    <w:rsid w:val="395753F2"/>
    <w:rsid w:val="395811AF"/>
    <w:rsid w:val="39676A41"/>
    <w:rsid w:val="39686D44"/>
    <w:rsid w:val="39695DEF"/>
    <w:rsid w:val="397E700C"/>
    <w:rsid w:val="39834074"/>
    <w:rsid w:val="39885108"/>
    <w:rsid w:val="39907940"/>
    <w:rsid w:val="399602F5"/>
    <w:rsid w:val="399B5B0D"/>
    <w:rsid w:val="39A05979"/>
    <w:rsid w:val="39BB78F7"/>
    <w:rsid w:val="39BC428E"/>
    <w:rsid w:val="39C46549"/>
    <w:rsid w:val="39CA1A60"/>
    <w:rsid w:val="39D3749A"/>
    <w:rsid w:val="39D5434E"/>
    <w:rsid w:val="39DA738E"/>
    <w:rsid w:val="39DC3D4A"/>
    <w:rsid w:val="39DD12F6"/>
    <w:rsid w:val="39DD49C2"/>
    <w:rsid w:val="39DD4ACE"/>
    <w:rsid w:val="39E02BA8"/>
    <w:rsid w:val="39E70CEA"/>
    <w:rsid w:val="39E9070B"/>
    <w:rsid w:val="39EC7454"/>
    <w:rsid w:val="39FD2FB3"/>
    <w:rsid w:val="3A026596"/>
    <w:rsid w:val="3A04252C"/>
    <w:rsid w:val="3A082ABE"/>
    <w:rsid w:val="3A0E766B"/>
    <w:rsid w:val="3A101C68"/>
    <w:rsid w:val="3A181AC2"/>
    <w:rsid w:val="3A1A155D"/>
    <w:rsid w:val="3A237175"/>
    <w:rsid w:val="3A616CAD"/>
    <w:rsid w:val="3A711C68"/>
    <w:rsid w:val="3A7927E8"/>
    <w:rsid w:val="3A796E46"/>
    <w:rsid w:val="3A8A33CD"/>
    <w:rsid w:val="3A8B3C77"/>
    <w:rsid w:val="3A971F5B"/>
    <w:rsid w:val="3A9A224E"/>
    <w:rsid w:val="3A9C1F8C"/>
    <w:rsid w:val="3A9D2551"/>
    <w:rsid w:val="3AA15A8E"/>
    <w:rsid w:val="3AA90278"/>
    <w:rsid w:val="3AA97F70"/>
    <w:rsid w:val="3AB26A14"/>
    <w:rsid w:val="3ABA0945"/>
    <w:rsid w:val="3ABE76C3"/>
    <w:rsid w:val="3ABF42F5"/>
    <w:rsid w:val="3ACE7D16"/>
    <w:rsid w:val="3AD73D23"/>
    <w:rsid w:val="3AE6135E"/>
    <w:rsid w:val="3AEB7C80"/>
    <w:rsid w:val="3AF932C9"/>
    <w:rsid w:val="3AFD37D0"/>
    <w:rsid w:val="3B016EE9"/>
    <w:rsid w:val="3B075C4E"/>
    <w:rsid w:val="3B0C7A7D"/>
    <w:rsid w:val="3B0D67FF"/>
    <w:rsid w:val="3B0E6B93"/>
    <w:rsid w:val="3B130528"/>
    <w:rsid w:val="3B1703B9"/>
    <w:rsid w:val="3B1B0093"/>
    <w:rsid w:val="3B2356A8"/>
    <w:rsid w:val="3B2D161A"/>
    <w:rsid w:val="3B3A132E"/>
    <w:rsid w:val="3B456D7F"/>
    <w:rsid w:val="3B5E261D"/>
    <w:rsid w:val="3B5F14B4"/>
    <w:rsid w:val="3B616FBE"/>
    <w:rsid w:val="3B683A4D"/>
    <w:rsid w:val="3B6A3CF4"/>
    <w:rsid w:val="3B6D5AE8"/>
    <w:rsid w:val="3B6F5B73"/>
    <w:rsid w:val="3B70725E"/>
    <w:rsid w:val="3B7B1D0B"/>
    <w:rsid w:val="3B873119"/>
    <w:rsid w:val="3B9065F2"/>
    <w:rsid w:val="3B9271C8"/>
    <w:rsid w:val="3B9C2663"/>
    <w:rsid w:val="3BA17E84"/>
    <w:rsid w:val="3BA35FC1"/>
    <w:rsid w:val="3BA566FD"/>
    <w:rsid w:val="3BA7008A"/>
    <w:rsid w:val="3BB47D9F"/>
    <w:rsid w:val="3BD039A1"/>
    <w:rsid w:val="3BDE5F43"/>
    <w:rsid w:val="3BE61119"/>
    <w:rsid w:val="3BE745F7"/>
    <w:rsid w:val="3BF10AAD"/>
    <w:rsid w:val="3BFA10FC"/>
    <w:rsid w:val="3C032713"/>
    <w:rsid w:val="3C042946"/>
    <w:rsid w:val="3C070D59"/>
    <w:rsid w:val="3C074961"/>
    <w:rsid w:val="3C0E09BE"/>
    <w:rsid w:val="3C0F1954"/>
    <w:rsid w:val="3C1071B6"/>
    <w:rsid w:val="3C1E391D"/>
    <w:rsid w:val="3C21000D"/>
    <w:rsid w:val="3C294498"/>
    <w:rsid w:val="3C2D5003"/>
    <w:rsid w:val="3C333216"/>
    <w:rsid w:val="3C36018F"/>
    <w:rsid w:val="3C3B0B4B"/>
    <w:rsid w:val="3C3D016E"/>
    <w:rsid w:val="3C4864AA"/>
    <w:rsid w:val="3C4F7D80"/>
    <w:rsid w:val="3C60765D"/>
    <w:rsid w:val="3C64689F"/>
    <w:rsid w:val="3C6E7D4D"/>
    <w:rsid w:val="3C740DAA"/>
    <w:rsid w:val="3C750E34"/>
    <w:rsid w:val="3C7E65EC"/>
    <w:rsid w:val="3C812838"/>
    <w:rsid w:val="3C8555A2"/>
    <w:rsid w:val="3C9511CC"/>
    <w:rsid w:val="3C975B49"/>
    <w:rsid w:val="3C9E64A0"/>
    <w:rsid w:val="3CA41337"/>
    <w:rsid w:val="3CA95FB0"/>
    <w:rsid w:val="3CAA38C3"/>
    <w:rsid w:val="3CAA5481"/>
    <w:rsid w:val="3CAC1109"/>
    <w:rsid w:val="3CB36CF4"/>
    <w:rsid w:val="3CBA78F5"/>
    <w:rsid w:val="3CBF7818"/>
    <w:rsid w:val="3CC26B63"/>
    <w:rsid w:val="3CCC4D4D"/>
    <w:rsid w:val="3CD71E34"/>
    <w:rsid w:val="3CD93A3D"/>
    <w:rsid w:val="3CDB5D82"/>
    <w:rsid w:val="3CDE394C"/>
    <w:rsid w:val="3CE54B9F"/>
    <w:rsid w:val="3CE86761"/>
    <w:rsid w:val="3CF619DB"/>
    <w:rsid w:val="3CF86E9C"/>
    <w:rsid w:val="3CFD37E7"/>
    <w:rsid w:val="3CFE44BF"/>
    <w:rsid w:val="3D035272"/>
    <w:rsid w:val="3D0F1231"/>
    <w:rsid w:val="3D184661"/>
    <w:rsid w:val="3D200D7C"/>
    <w:rsid w:val="3D250930"/>
    <w:rsid w:val="3D272F24"/>
    <w:rsid w:val="3D47670E"/>
    <w:rsid w:val="3D4D7CF8"/>
    <w:rsid w:val="3D58163A"/>
    <w:rsid w:val="3D5A05E2"/>
    <w:rsid w:val="3D5C63D4"/>
    <w:rsid w:val="3D5E50E6"/>
    <w:rsid w:val="3D5F6029"/>
    <w:rsid w:val="3D6223C0"/>
    <w:rsid w:val="3D7618FA"/>
    <w:rsid w:val="3D766E42"/>
    <w:rsid w:val="3D791797"/>
    <w:rsid w:val="3D832B00"/>
    <w:rsid w:val="3D8522AA"/>
    <w:rsid w:val="3D8A0C19"/>
    <w:rsid w:val="3D9816B4"/>
    <w:rsid w:val="3D990197"/>
    <w:rsid w:val="3D9A0655"/>
    <w:rsid w:val="3DA30F47"/>
    <w:rsid w:val="3DB17297"/>
    <w:rsid w:val="3DCD6921"/>
    <w:rsid w:val="3DD67156"/>
    <w:rsid w:val="3DD745F2"/>
    <w:rsid w:val="3DE37514"/>
    <w:rsid w:val="3DE548AC"/>
    <w:rsid w:val="3DE653F8"/>
    <w:rsid w:val="3DE72673"/>
    <w:rsid w:val="3DEB1255"/>
    <w:rsid w:val="3DEE1FBE"/>
    <w:rsid w:val="3E016DBB"/>
    <w:rsid w:val="3E0448CB"/>
    <w:rsid w:val="3E073B6A"/>
    <w:rsid w:val="3E0918A5"/>
    <w:rsid w:val="3E0F25EA"/>
    <w:rsid w:val="3E146F59"/>
    <w:rsid w:val="3E197897"/>
    <w:rsid w:val="3E22755F"/>
    <w:rsid w:val="3E237BCC"/>
    <w:rsid w:val="3E255AC9"/>
    <w:rsid w:val="3E3419DC"/>
    <w:rsid w:val="3E3C5F3C"/>
    <w:rsid w:val="3E463CA5"/>
    <w:rsid w:val="3E4B2DC3"/>
    <w:rsid w:val="3E5B12DC"/>
    <w:rsid w:val="3E623E46"/>
    <w:rsid w:val="3E63159D"/>
    <w:rsid w:val="3E7A1C88"/>
    <w:rsid w:val="3E8B095A"/>
    <w:rsid w:val="3E8D66A1"/>
    <w:rsid w:val="3E8E6C82"/>
    <w:rsid w:val="3E942719"/>
    <w:rsid w:val="3E943FDD"/>
    <w:rsid w:val="3E9A19C5"/>
    <w:rsid w:val="3E9E1F00"/>
    <w:rsid w:val="3E9E3078"/>
    <w:rsid w:val="3EAC3BDD"/>
    <w:rsid w:val="3EB767A1"/>
    <w:rsid w:val="3EBB7EC0"/>
    <w:rsid w:val="3EC31440"/>
    <w:rsid w:val="3EC5174F"/>
    <w:rsid w:val="3EC51CAD"/>
    <w:rsid w:val="3EC807F2"/>
    <w:rsid w:val="3EC80A9D"/>
    <w:rsid w:val="3ECD06E3"/>
    <w:rsid w:val="3ECF0F50"/>
    <w:rsid w:val="3ECF234A"/>
    <w:rsid w:val="3ED671CD"/>
    <w:rsid w:val="3EE14A57"/>
    <w:rsid w:val="3EE21263"/>
    <w:rsid w:val="3EE9744E"/>
    <w:rsid w:val="3EF36AD8"/>
    <w:rsid w:val="3EF62480"/>
    <w:rsid w:val="3EFB57DC"/>
    <w:rsid w:val="3F0572F1"/>
    <w:rsid w:val="3F144192"/>
    <w:rsid w:val="3F1F30A0"/>
    <w:rsid w:val="3F217DDA"/>
    <w:rsid w:val="3F2B184D"/>
    <w:rsid w:val="3F2C7646"/>
    <w:rsid w:val="3F3A6C93"/>
    <w:rsid w:val="3F441B08"/>
    <w:rsid w:val="3F4A4087"/>
    <w:rsid w:val="3F5361F5"/>
    <w:rsid w:val="3F6B3632"/>
    <w:rsid w:val="3F6F2B6A"/>
    <w:rsid w:val="3F7379C8"/>
    <w:rsid w:val="3F776E0A"/>
    <w:rsid w:val="3F952814"/>
    <w:rsid w:val="3F9C0821"/>
    <w:rsid w:val="3FA41C63"/>
    <w:rsid w:val="3FAB100B"/>
    <w:rsid w:val="3FAB3D87"/>
    <w:rsid w:val="3FAB41A2"/>
    <w:rsid w:val="3FAE47F6"/>
    <w:rsid w:val="3FB03D8B"/>
    <w:rsid w:val="3FB77F5A"/>
    <w:rsid w:val="3FC32553"/>
    <w:rsid w:val="3FD53CFE"/>
    <w:rsid w:val="3FE210C1"/>
    <w:rsid w:val="3FEB1C22"/>
    <w:rsid w:val="3FEE2117"/>
    <w:rsid w:val="3FFA5C63"/>
    <w:rsid w:val="40073561"/>
    <w:rsid w:val="400A1CFC"/>
    <w:rsid w:val="401D6DEE"/>
    <w:rsid w:val="40256E6C"/>
    <w:rsid w:val="40372C35"/>
    <w:rsid w:val="403870E4"/>
    <w:rsid w:val="403D7C5C"/>
    <w:rsid w:val="40400533"/>
    <w:rsid w:val="4049754C"/>
    <w:rsid w:val="404B2521"/>
    <w:rsid w:val="40572DA6"/>
    <w:rsid w:val="405A424E"/>
    <w:rsid w:val="406A55A3"/>
    <w:rsid w:val="406D461C"/>
    <w:rsid w:val="406F7D87"/>
    <w:rsid w:val="40825FDB"/>
    <w:rsid w:val="40836EAD"/>
    <w:rsid w:val="40896211"/>
    <w:rsid w:val="40907287"/>
    <w:rsid w:val="409238F2"/>
    <w:rsid w:val="40953EC0"/>
    <w:rsid w:val="40A85158"/>
    <w:rsid w:val="40AB3054"/>
    <w:rsid w:val="40BD153A"/>
    <w:rsid w:val="40C3250A"/>
    <w:rsid w:val="40CD7BD8"/>
    <w:rsid w:val="40CE24AF"/>
    <w:rsid w:val="40D07371"/>
    <w:rsid w:val="40D72999"/>
    <w:rsid w:val="40DF3ABC"/>
    <w:rsid w:val="40E6034D"/>
    <w:rsid w:val="40E75AF0"/>
    <w:rsid w:val="40E87142"/>
    <w:rsid w:val="40F00A85"/>
    <w:rsid w:val="40F1013C"/>
    <w:rsid w:val="40F35427"/>
    <w:rsid w:val="40FE1447"/>
    <w:rsid w:val="41053DED"/>
    <w:rsid w:val="410F4D08"/>
    <w:rsid w:val="412506DF"/>
    <w:rsid w:val="413B1BAB"/>
    <w:rsid w:val="41434504"/>
    <w:rsid w:val="4149456B"/>
    <w:rsid w:val="414F41D7"/>
    <w:rsid w:val="414F7876"/>
    <w:rsid w:val="41515CEC"/>
    <w:rsid w:val="415A0FEF"/>
    <w:rsid w:val="416279BA"/>
    <w:rsid w:val="41653B51"/>
    <w:rsid w:val="416C15E7"/>
    <w:rsid w:val="416E039C"/>
    <w:rsid w:val="416E1B43"/>
    <w:rsid w:val="417727AB"/>
    <w:rsid w:val="41800377"/>
    <w:rsid w:val="41804025"/>
    <w:rsid w:val="418B26ED"/>
    <w:rsid w:val="41931531"/>
    <w:rsid w:val="41986119"/>
    <w:rsid w:val="41A63744"/>
    <w:rsid w:val="41AC6BA3"/>
    <w:rsid w:val="41AD5F07"/>
    <w:rsid w:val="41B730A3"/>
    <w:rsid w:val="41B737E0"/>
    <w:rsid w:val="41B77B6D"/>
    <w:rsid w:val="41C20F3F"/>
    <w:rsid w:val="41C86290"/>
    <w:rsid w:val="41D1580B"/>
    <w:rsid w:val="41D57639"/>
    <w:rsid w:val="41DC5EDF"/>
    <w:rsid w:val="41DD05DE"/>
    <w:rsid w:val="41E4117E"/>
    <w:rsid w:val="41F04C42"/>
    <w:rsid w:val="41F07014"/>
    <w:rsid w:val="41F24303"/>
    <w:rsid w:val="41F52080"/>
    <w:rsid w:val="41F94D40"/>
    <w:rsid w:val="420850A2"/>
    <w:rsid w:val="421B1059"/>
    <w:rsid w:val="422370F9"/>
    <w:rsid w:val="42294221"/>
    <w:rsid w:val="422C32BD"/>
    <w:rsid w:val="422E207E"/>
    <w:rsid w:val="422F6870"/>
    <w:rsid w:val="423038F8"/>
    <w:rsid w:val="424255E1"/>
    <w:rsid w:val="424A277B"/>
    <w:rsid w:val="424C701C"/>
    <w:rsid w:val="42571AE1"/>
    <w:rsid w:val="42697E79"/>
    <w:rsid w:val="42730E0D"/>
    <w:rsid w:val="427409B9"/>
    <w:rsid w:val="42831021"/>
    <w:rsid w:val="42863926"/>
    <w:rsid w:val="4287026E"/>
    <w:rsid w:val="42873CB7"/>
    <w:rsid w:val="429110B8"/>
    <w:rsid w:val="4295760D"/>
    <w:rsid w:val="429A29B1"/>
    <w:rsid w:val="429C1606"/>
    <w:rsid w:val="42A87389"/>
    <w:rsid w:val="42B63D6B"/>
    <w:rsid w:val="42D67001"/>
    <w:rsid w:val="42E06A10"/>
    <w:rsid w:val="42F875D5"/>
    <w:rsid w:val="430A5FFD"/>
    <w:rsid w:val="43112BE5"/>
    <w:rsid w:val="431B56C6"/>
    <w:rsid w:val="431C7B04"/>
    <w:rsid w:val="432319F2"/>
    <w:rsid w:val="432466AA"/>
    <w:rsid w:val="432E5E21"/>
    <w:rsid w:val="433C41B8"/>
    <w:rsid w:val="433D2335"/>
    <w:rsid w:val="433F57C3"/>
    <w:rsid w:val="43426A44"/>
    <w:rsid w:val="434660C5"/>
    <w:rsid w:val="43605DCC"/>
    <w:rsid w:val="43614CEE"/>
    <w:rsid w:val="43621947"/>
    <w:rsid w:val="4363090C"/>
    <w:rsid w:val="43664819"/>
    <w:rsid w:val="436A2192"/>
    <w:rsid w:val="436C40C2"/>
    <w:rsid w:val="4372336A"/>
    <w:rsid w:val="438B6310"/>
    <w:rsid w:val="439322F0"/>
    <w:rsid w:val="43964600"/>
    <w:rsid w:val="4397231A"/>
    <w:rsid w:val="439C3431"/>
    <w:rsid w:val="439D0E7C"/>
    <w:rsid w:val="43A26A83"/>
    <w:rsid w:val="43A45ECB"/>
    <w:rsid w:val="43BB0AE6"/>
    <w:rsid w:val="43C0281C"/>
    <w:rsid w:val="43D10A40"/>
    <w:rsid w:val="43D67A91"/>
    <w:rsid w:val="43E21F58"/>
    <w:rsid w:val="43E35EF0"/>
    <w:rsid w:val="43F76F69"/>
    <w:rsid w:val="43F90FED"/>
    <w:rsid w:val="43FC0DB2"/>
    <w:rsid w:val="440C5D56"/>
    <w:rsid w:val="44174583"/>
    <w:rsid w:val="441A5200"/>
    <w:rsid w:val="4425456D"/>
    <w:rsid w:val="44393BD3"/>
    <w:rsid w:val="444109FB"/>
    <w:rsid w:val="444E22EA"/>
    <w:rsid w:val="44584267"/>
    <w:rsid w:val="44666074"/>
    <w:rsid w:val="44705173"/>
    <w:rsid w:val="44740841"/>
    <w:rsid w:val="4476407C"/>
    <w:rsid w:val="447B4A66"/>
    <w:rsid w:val="447D4136"/>
    <w:rsid w:val="448B5845"/>
    <w:rsid w:val="448C73DD"/>
    <w:rsid w:val="44907237"/>
    <w:rsid w:val="449D7968"/>
    <w:rsid w:val="44B4690B"/>
    <w:rsid w:val="44B53006"/>
    <w:rsid w:val="44B67D46"/>
    <w:rsid w:val="44BA1648"/>
    <w:rsid w:val="44BB150F"/>
    <w:rsid w:val="44BE4FA9"/>
    <w:rsid w:val="44C43057"/>
    <w:rsid w:val="44C80121"/>
    <w:rsid w:val="44C87C0F"/>
    <w:rsid w:val="44DF6F1B"/>
    <w:rsid w:val="44E54BDC"/>
    <w:rsid w:val="44E92DF3"/>
    <w:rsid w:val="44F82D0E"/>
    <w:rsid w:val="450353FE"/>
    <w:rsid w:val="451C5E9C"/>
    <w:rsid w:val="452C5F0A"/>
    <w:rsid w:val="453579B0"/>
    <w:rsid w:val="45385EDA"/>
    <w:rsid w:val="454036A6"/>
    <w:rsid w:val="45446179"/>
    <w:rsid w:val="454E0AAC"/>
    <w:rsid w:val="454E4F75"/>
    <w:rsid w:val="454E6B7A"/>
    <w:rsid w:val="4551463D"/>
    <w:rsid w:val="45520426"/>
    <w:rsid w:val="45522E35"/>
    <w:rsid w:val="455A7708"/>
    <w:rsid w:val="456C4CA4"/>
    <w:rsid w:val="457736FF"/>
    <w:rsid w:val="45790DCE"/>
    <w:rsid w:val="457E31A2"/>
    <w:rsid w:val="458B757C"/>
    <w:rsid w:val="458D679F"/>
    <w:rsid w:val="45917B8A"/>
    <w:rsid w:val="459B634C"/>
    <w:rsid w:val="459F2381"/>
    <w:rsid w:val="45A74FA6"/>
    <w:rsid w:val="45B64B84"/>
    <w:rsid w:val="45D2257C"/>
    <w:rsid w:val="45E37678"/>
    <w:rsid w:val="45E526A6"/>
    <w:rsid w:val="45E66893"/>
    <w:rsid w:val="45E826B2"/>
    <w:rsid w:val="45F4334C"/>
    <w:rsid w:val="460D3781"/>
    <w:rsid w:val="461B39D6"/>
    <w:rsid w:val="46312362"/>
    <w:rsid w:val="463714CE"/>
    <w:rsid w:val="46466453"/>
    <w:rsid w:val="464871AD"/>
    <w:rsid w:val="46581B41"/>
    <w:rsid w:val="465918B0"/>
    <w:rsid w:val="4662020E"/>
    <w:rsid w:val="466D3070"/>
    <w:rsid w:val="4671651F"/>
    <w:rsid w:val="46787358"/>
    <w:rsid w:val="467929D1"/>
    <w:rsid w:val="4679494F"/>
    <w:rsid w:val="467A6815"/>
    <w:rsid w:val="46866306"/>
    <w:rsid w:val="468A27AC"/>
    <w:rsid w:val="468E6888"/>
    <w:rsid w:val="46914620"/>
    <w:rsid w:val="4691643F"/>
    <w:rsid w:val="46963469"/>
    <w:rsid w:val="46981A1E"/>
    <w:rsid w:val="46987D2F"/>
    <w:rsid w:val="46995896"/>
    <w:rsid w:val="469D5DE8"/>
    <w:rsid w:val="46A35C12"/>
    <w:rsid w:val="46A55B0E"/>
    <w:rsid w:val="46A82992"/>
    <w:rsid w:val="46AD7A54"/>
    <w:rsid w:val="46B419BE"/>
    <w:rsid w:val="46B640D3"/>
    <w:rsid w:val="46CD1F17"/>
    <w:rsid w:val="46D126E3"/>
    <w:rsid w:val="46D67289"/>
    <w:rsid w:val="46DB64CD"/>
    <w:rsid w:val="46DD1D17"/>
    <w:rsid w:val="46E1018C"/>
    <w:rsid w:val="46E53AB0"/>
    <w:rsid w:val="46F37479"/>
    <w:rsid w:val="46FC2FE8"/>
    <w:rsid w:val="47003B16"/>
    <w:rsid w:val="47033281"/>
    <w:rsid w:val="47065799"/>
    <w:rsid w:val="47073BE8"/>
    <w:rsid w:val="470872CF"/>
    <w:rsid w:val="470D53CA"/>
    <w:rsid w:val="471563E1"/>
    <w:rsid w:val="47167C67"/>
    <w:rsid w:val="47333B1B"/>
    <w:rsid w:val="47351654"/>
    <w:rsid w:val="473D0BD8"/>
    <w:rsid w:val="47457188"/>
    <w:rsid w:val="47504011"/>
    <w:rsid w:val="475F470F"/>
    <w:rsid w:val="47644CFB"/>
    <w:rsid w:val="47666951"/>
    <w:rsid w:val="47683159"/>
    <w:rsid w:val="476A7D07"/>
    <w:rsid w:val="477E1ACC"/>
    <w:rsid w:val="479766B4"/>
    <w:rsid w:val="479A472B"/>
    <w:rsid w:val="479D7800"/>
    <w:rsid w:val="479E6293"/>
    <w:rsid w:val="47AA1593"/>
    <w:rsid w:val="47B44BED"/>
    <w:rsid w:val="47BC3466"/>
    <w:rsid w:val="47D730B6"/>
    <w:rsid w:val="47DD6A91"/>
    <w:rsid w:val="47EB0853"/>
    <w:rsid w:val="47EB5BFA"/>
    <w:rsid w:val="47FA20F9"/>
    <w:rsid w:val="47FF3A74"/>
    <w:rsid w:val="480B7A59"/>
    <w:rsid w:val="48111DC2"/>
    <w:rsid w:val="48156BFB"/>
    <w:rsid w:val="481E782C"/>
    <w:rsid w:val="482B39B5"/>
    <w:rsid w:val="482D350F"/>
    <w:rsid w:val="48330A93"/>
    <w:rsid w:val="483C2A8C"/>
    <w:rsid w:val="48424FA1"/>
    <w:rsid w:val="484647AE"/>
    <w:rsid w:val="484F1901"/>
    <w:rsid w:val="48594C05"/>
    <w:rsid w:val="485D5413"/>
    <w:rsid w:val="485D58DA"/>
    <w:rsid w:val="4864535D"/>
    <w:rsid w:val="48740F16"/>
    <w:rsid w:val="48747A97"/>
    <w:rsid w:val="487A2A25"/>
    <w:rsid w:val="487C0397"/>
    <w:rsid w:val="48850976"/>
    <w:rsid w:val="488E25F1"/>
    <w:rsid w:val="48942964"/>
    <w:rsid w:val="489B4431"/>
    <w:rsid w:val="489E044A"/>
    <w:rsid w:val="489F0E5C"/>
    <w:rsid w:val="48A36B1C"/>
    <w:rsid w:val="48A76BEF"/>
    <w:rsid w:val="48AF255D"/>
    <w:rsid w:val="48B16C29"/>
    <w:rsid w:val="48B305F1"/>
    <w:rsid w:val="48B44D6B"/>
    <w:rsid w:val="48B470F8"/>
    <w:rsid w:val="48C17F25"/>
    <w:rsid w:val="48C34E74"/>
    <w:rsid w:val="48C43EFA"/>
    <w:rsid w:val="48C72E35"/>
    <w:rsid w:val="48C82BD7"/>
    <w:rsid w:val="48CB0DA2"/>
    <w:rsid w:val="48DC218B"/>
    <w:rsid w:val="48F447F8"/>
    <w:rsid w:val="48F7423E"/>
    <w:rsid w:val="49075A63"/>
    <w:rsid w:val="490933FA"/>
    <w:rsid w:val="490A4D2F"/>
    <w:rsid w:val="490A64AF"/>
    <w:rsid w:val="491709CE"/>
    <w:rsid w:val="49224F55"/>
    <w:rsid w:val="49241D45"/>
    <w:rsid w:val="4929748F"/>
    <w:rsid w:val="492F1F4E"/>
    <w:rsid w:val="4935171C"/>
    <w:rsid w:val="49366254"/>
    <w:rsid w:val="493A0176"/>
    <w:rsid w:val="49432B91"/>
    <w:rsid w:val="494502AA"/>
    <w:rsid w:val="49535C21"/>
    <w:rsid w:val="495B528B"/>
    <w:rsid w:val="495C3370"/>
    <w:rsid w:val="496409A2"/>
    <w:rsid w:val="496926EA"/>
    <w:rsid w:val="49707759"/>
    <w:rsid w:val="49715E0F"/>
    <w:rsid w:val="497F5591"/>
    <w:rsid w:val="49822E2F"/>
    <w:rsid w:val="498F38E6"/>
    <w:rsid w:val="49927DFC"/>
    <w:rsid w:val="499322C4"/>
    <w:rsid w:val="4995554E"/>
    <w:rsid w:val="499B3646"/>
    <w:rsid w:val="499C3504"/>
    <w:rsid w:val="499C3A4F"/>
    <w:rsid w:val="49A43EE6"/>
    <w:rsid w:val="49AB3DB8"/>
    <w:rsid w:val="49B4201A"/>
    <w:rsid w:val="49C20C6C"/>
    <w:rsid w:val="49CE0C89"/>
    <w:rsid w:val="49D93C20"/>
    <w:rsid w:val="49DA3FD3"/>
    <w:rsid w:val="49DA7AB7"/>
    <w:rsid w:val="49E028D9"/>
    <w:rsid w:val="49E46DD1"/>
    <w:rsid w:val="4A0573EC"/>
    <w:rsid w:val="4A06116C"/>
    <w:rsid w:val="4A070E8E"/>
    <w:rsid w:val="4A09499E"/>
    <w:rsid w:val="4A2E7749"/>
    <w:rsid w:val="4A381BA6"/>
    <w:rsid w:val="4A3926E2"/>
    <w:rsid w:val="4A4172CE"/>
    <w:rsid w:val="4A43236C"/>
    <w:rsid w:val="4A4A176A"/>
    <w:rsid w:val="4A5370A6"/>
    <w:rsid w:val="4A5C4447"/>
    <w:rsid w:val="4A5C6983"/>
    <w:rsid w:val="4A6C0FC7"/>
    <w:rsid w:val="4A6D7FF3"/>
    <w:rsid w:val="4A732739"/>
    <w:rsid w:val="4A7413BF"/>
    <w:rsid w:val="4A7D09F3"/>
    <w:rsid w:val="4A825AD9"/>
    <w:rsid w:val="4A840EFE"/>
    <w:rsid w:val="4A850C8F"/>
    <w:rsid w:val="4A8953AB"/>
    <w:rsid w:val="4A8B5CEB"/>
    <w:rsid w:val="4A8F78CA"/>
    <w:rsid w:val="4A95521B"/>
    <w:rsid w:val="4AA456B8"/>
    <w:rsid w:val="4AA75186"/>
    <w:rsid w:val="4AB113DF"/>
    <w:rsid w:val="4ABB3CDE"/>
    <w:rsid w:val="4AC4256B"/>
    <w:rsid w:val="4AC860DD"/>
    <w:rsid w:val="4AD162A8"/>
    <w:rsid w:val="4AD25C89"/>
    <w:rsid w:val="4AD768C6"/>
    <w:rsid w:val="4AE0796F"/>
    <w:rsid w:val="4AF902F5"/>
    <w:rsid w:val="4AF94D42"/>
    <w:rsid w:val="4B0107DC"/>
    <w:rsid w:val="4B205D7D"/>
    <w:rsid w:val="4B28587C"/>
    <w:rsid w:val="4B292683"/>
    <w:rsid w:val="4B294C7C"/>
    <w:rsid w:val="4B376E2E"/>
    <w:rsid w:val="4B385AE2"/>
    <w:rsid w:val="4B3D5656"/>
    <w:rsid w:val="4B3F4861"/>
    <w:rsid w:val="4B50566A"/>
    <w:rsid w:val="4B53122B"/>
    <w:rsid w:val="4B571002"/>
    <w:rsid w:val="4B5912E9"/>
    <w:rsid w:val="4B5D1DDE"/>
    <w:rsid w:val="4B683C6A"/>
    <w:rsid w:val="4B705844"/>
    <w:rsid w:val="4B7224D0"/>
    <w:rsid w:val="4B731C20"/>
    <w:rsid w:val="4B774607"/>
    <w:rsid w:val="4B7A3C96"/>
    <w:rsid w:val="4B7D4F5D"/>
    <w:rsid w:val="4B82716C"/>
    <w:rsid w:val="4B857EC6"/>
    <w:rsid w:val="4B8829C1"/>
    <w:rsid w:val="4B8A2918"/>
    <w:rsid w:val="4B901807"/>
    <w:rsid w:val="4B9B25E4"/>
    <w:rsid w:val="4B9E314D"/>
    <w:rsid w:val="4BAD4CA2"/>
    <w:rsid w:val="4BC456EF"/>
    <w:rsid w:val="4BC647B0"/>
    <w:rsid w:val="4BD94F2A"/>
    <w:rsid w:val="4BDF4B49"/>
    <w:rsid w:val="4BE57E16"/>
    <w:rsid w:val="4BE819D0"/>
    <w:rsid w:val="4BE8649D"/>
    <w:rsid w:val="4C0236B4"/>
    <w:rsid w:val="4C0C091F"/>
    <w:rsid w:val="4C170C9D"/>
    <w:rsid w:val="4C192F75"/>
    <w:rsid w:val="4C1C0BD6"/>
    <w:rsid w:val="4C1E085C"/>
    <w:rsid w:val="4C1E7AAC"/>
    <w:rsid w:val="4C20259F"/>
    <w:rsid w:val="4C312ECF"/>
    <w:rsid w:val="4C422CA7"/>
    <w:rsid w:val="4C427C5C"/>
    <w:rsid w:val="4C5035A1"/>
    <w:rsid w:val="4C5F0B5D"/>
    <w:rsid w:val="4C606F33"/>
    <w:rsid w:val="4C6426ED"/>
    <w:rsid w:val="4C64471A"/>
    <w:rsid w:val="4C681280"/>
    <w:rsid w:val="4C6C2FE2"/>
    <w:rsid w:val="4C6D5BD4"/>
    <w:rsid w:val="4C77619E"/>
    <w:rsid w:val="4C860543"/>
    <w:rsid w:val="4C8740CC"/>
    <w:rsid w:val="4C8E48D8"/>
    <w:rsid w:val="4C9538F4"/>
    <w:rsid w:val="4C974009"/>
    <w:rsid w:val="4CA6111C"/>
    <w:rsid w:val="4CA867B8"/>
    <w:rsid w:val="4CB3742C"/>
    <w:rsid w:val="4CBA2017"/>
    <w:rsid w:val="4CC17C3E"/>
    <w:rsid w:val="4CC25B41"/>
    <w:rsid w:val="4CC42462"/>
    <w:rsid w:val="4CC42E37"/>
    <w:rsid w:val="4CC82CB8"/>
    <w:rsid w:val="4CCD5921"/>
    <w:rsid w:val="4CD550D5"/>
    <w:rsid w:val="4CDA21DD"/>
    <w:rsid w:val="4CE472E9"/>
    <w:rsid w:val="4CF04CFC"/>
    <w:rsid w:val="4CF26BC3"/>
    <w:rsid w:val="4CFB51DB"/>
    <w:rsid w:val="4CFC3F2E"/>
    <w:rsid w:val="4D0F1680"/>
    <w:rsid w:val="4D1D6CA0"/>
    <w:rsid w:val="4D2609C6"/>
    <w:rsid w:val="4D2F5C2A"/>
    <w:rsid w:val="4D33448A"/>
    <w:rsid w:val="4D3F4840"/>
    <w:rsid w:val="4D410392"/>
    <w:rsid w:val="4D422D07"/>
    <w:rsid w:val="4D427BBD"/>
    <w:rsid w:val="4D541F22"/>
    <w:rsid w:val="4D570519"/>
    <w:rsid w:val="4D5C5732"/>
    <w:rsid w:val="4D656800"/>
    <w:rsid w:val="4D705706"/>
    <w:rsid w:val="4D7220A0"/>
    <w:rsid w:val="4D76173E"/>
    <w:rsid w:val="4D8D11C1"/>
    <w:rsid w:val="4D922BF5"/>
    <w:rsid w:val="4D9B5A29"/>
    <w:rsid w:val="4DA53BC8"/>
    <w:rsid w:val="4DB41824"/>
    <w:rsid w:val="4DBC7291"/>
    <w:rsid w:val="4DBD1F3A"/>
    <w:rsid w:val="4DBD526D"/>
    <w:rsid w:val="4DC31B92"/>
    <w:rsid w:val="4DD776ED"/>
    <w:rsid w:val="4DDF6E13"/>
    <w:rsid w:val="4DE60E50"/>
    <w:rsid w:val="4DEB4734"/>
    <w:rsid w:val="4DEF33CD"/>
    <w:rsid w:val="4DF20FEE"/>
    <w:rsid w:val="4DF47251"/>
    <w:rsid w:val="4E007E98"/>
    <w:rsid w:val="4E016672"/>
    <w:rsid w:val="4E066F25"/>
    <w:rsid w:val="4E0939E5"/>
    <w:rsid w:val="4E176DF3"/>
    <w:rsid w:val="4E1A2F68"/>
    <w:rsid w:val="4E1E7D0E"/>
    <w:rsid w:val="4E210A5C"/>
    <w:rsid w:val="4E2A41E4"/>
    <w:rsid w:val="4E3A2C21"/>
    <w:rsid w:val="4E412A4D"/>
    <w:rsid w:val="4E4475F5"/>
    <w:rsid w:val="4E587463"/>
    <w:rsid w:val="4E5A3449"/>
    <w:rsid w:val="4E68543B"/>
    <w:rsid w:val="4E6906EE"/>
    <w:rsid w:val="4E694E99"/>
    <w:rsid w:val="4E6D1740"/>
    <w:rsid w:val="4E7125DA"/>
    <w:rsid w:val="4E795FE9"/>
    <w:rsid w:val="4E797F06"/>
    <w:rsid w:val="4E817BF3"/>
    <w:rsid w:val="4E8D3751"/>
    <w:rsid w:val="4E904370"/>
    <w:rsid w:val="4E937763"/>
    <w:rsid w:val="4E9E5BA9"/>
    <w:rsid w:val="4E9F5613"/>
    <w:rsid w:val="4EA72574"/>
    <w:rsid w:val="4EA9172F"/>
    <w:rsid w:val="4EAC241A"/>
    <w:rsid w:val="4EAC3D27"/>
    <w:rsid w:val="4EB67945"/>
    <w:rsid w:val="4ECA2CB3"/>
    <w:rsid w:val="4ED32EBD"/>
    <w:rsid w:val="4ED57724"/>
    <w:rsid w:val="4EE61722"/>
    <w:rsid w:val="4EE86D63"/>
    <w:rsid w:val="4EEC3838"/>
    <w:rsid w:val="4EEE11A3"/>
    <w:rsid w:val="4EF07E6E"/>
    <w:rsid w:val="4EFE4EC2"/>
    <w:rsid w:val="4EFF3444"/>
    <w:rsid w:val="4F037BFA"/>
    <w:rsid w:val="4F0441E5"/>
    <w:rsid w:val="4F155F27"/>
    <w:rsid w:val="4F181305"/>
    <w:rsid w:val="4F1A238F"/>
    <w:rsid w:val="4F2C365D"/>
    <w:rsid w:val="4F376D93"/>
    <w:rsid w:val="4F3D4163"/>
    <w:rsid w:val="4F50208E"/>
    <w:rsid w:val="4F6E6F86"/>
    <w:rsid w:val="4F7278C6"/>
    <w:rsid w:val="4F764CC2"/>
    <w:rsid w:val="4F823D55"/>
    <w:rsid w:val="4F85034E"/>
    <w:rsid w:val="4F983E33"/>
    <w:rsid w:val="4F9B5328"/>
    <w:rsid w:val="4FAB2D3A"/>
    <w:rsid w:val="4FAB3627"/>
    <w:rsid w:val="4FAB7893"/>
    <w:rsid w:val="4FB40C2C"/>
    <w:rsid w:val="4FBA52BE"/>
    <w:rsid w:val="4FBA74EE"/>
    <w:rsid w:val="4FBB5569"/>
    <w:rsid w:val="4FBF1E32"/>
    <w:rsid w:val="4FC803AA"/>
    <w:rsid w:val="4FCB45DF"/>
    <w:rsid w:val="4FD365FC"/>
    <w:rsid w:val="4FD62D61"/>
    <w:rsid w:val="4FDC6418"/>
    <w:rsid w:val="4FE13662"/>
    <w:rsid w:val="4FE15781"/>
    <w:rsid w:val="4FE3603D"/>
    <w:rsid w:val="4FF5506D"/>
    <w:rsid w:val="4FFE1157"/>
    <w:rsid w:val="4FFF3806"/>
    <w:rsid w:val="4FFF49BB"/>
    <w:rsid w:val="50046739"/>
    <w:rsid w:val="50095827"/>
    <w:rsid w:val="50100572"/>
    <w:rsid w:val="5014542B"/>
    <w:rsid w:val="50186BF6"/>
    <w:rsid w:val="502751AB"/>
    <w:rsid w:val="502C4247"/>
    <w:rsid w:val="502D25A0"/>
    <w:rsid w:val="502D660A"/>
    <w:rsid w:val="50347D28"/>
    <w:rsid w:val="50363B3A"/>
    <w:rsid w:val="503D2073"/>
    <w:rsid w:val="503D5373"/>
    <w:rsid w:val="504261AC"/>
    <w:rsid w:val="504311C0"/>
    <w:rsid w:val="504B1149"/>
    <w:rsid w:val="5052029B"/>
    <w:rsid w:val="505F1426"/>
    <w:rsid w:val="506309DB"/>
    <w:rsid w:val="50752AF6"/>
    <w:rsid w:val="50771C00"/>
    <w:rsid w:val="508A668E"/>
    <w:rsid w:val="509A3231"/>
    <w:rsid w:val="50AF1C59"/>
    <w:rsid w:val="50B139BD"/>
    <w:rsid w:val="50B92297"/>
    <w:rsid w:val="50BD1498"/>
    <w:rsid w:val="50BE1B1D"/>
    <w:rsid w:val="50C51F05"/>
    <w:rsid w:val="50C65C4E"/>
    <w:rsid w:val="50C65E30"/>
    <w:rsid w:val="50CF1380"/>
    <w:rsid w:val="50D228CF"/>
    <w:rsid w:val="50E63519"/>
    <w:rsid w:val="50ED76FB"/>
    <w:rsid w:val="50F568D9"/>
    <w:rsid w:val="50FD2A03"/>
    <w:rsid w:val="51187610"/>
    <w:rsid w:val="512B350B"/>
    <w:rsid w:val="51375EB3"/>
    <w:rsid w:val="513853CC"/>
    <w:rsid w:val="51392D77"/>
    <w:rsid w:val="513F081D"/>
    <w:rsid w:val="514C1E16"/>
    <w:rsid w:val="515361F4"/>
    <w:rsid w:val="515529BB"/>
    <w:rsid w:val="515A64E3"/>
    <w:rsid w:val="515C30A6"/>
    <w:rsid w:val="5161698E"/>
    <w:rsid w:val="517C0CA0"/>
    <w:rsid w:val="517F00BC"/>
    <w:rsid w:val="51861603"/>
    <w:rsid w:val="5195533B"/>
    <w:rsid w:val="519645E3"/>
    <w:rsid w:val="5199124A"/>
    <w:rsid w:val="519D2F03"/>
    <w:rsid w:val="51AD6F40"/>
    <w:rsid w:val="51BE2EAE"/>
    <w:rsid w:val="51C0716E"/>
    <w:rsid w:val="51C24631"/>
    <w:rsid w:val="51D43598"/>
    <w:rsid w:val="51DA51E8"/>
    <w:rsid w:val="51DA5890"/>
    <w:rsid w:val="51E90CD5"/>
    <w:rsid w:val="51EE7B3E"/>
    <w:rsid w:val="51F51BD1"/>
    <w:rsid w:val="51F60D3F"/>
    <w:rsid w:val="51F96848"/>
    <w:rsid w:val="52073487"/>
    <w:rsid w:val="520A7B89"/>
    <w:rsid w:val="520E648E"/>
    <w:rsid w:val="521C5D43"/>
    <w:rsid w:val="521D7ED7"/>
    <w:rsid w:val="5239194F"/>
    <w:rsid w:val="52612620"/>
    <w:rsid w:val="526478E1"/>
    <w:rsid w:val="526A546C"/>
    <w:rsid w:val="52790FD9"/>
    <w:rsid w:val="52887A7D"/>
    <w:rsid w:val="52894DE6"/>
    <w:rsid w:val="528C5E23"/>
    <w:rsid w:val="52993DA6"/>
    <w:rsid w:val="529B5EE8"/>
    <w:rsid w:val="529F0D9B"/>
    <w:rsid w:val="52CA3D8F"/>
    <w:rsid w:val="52CD21D8"/>
    <w:rsid w:val="52CF0A4A"/>
    <w:rsid w:val="52DC66BA"/>
    <w:rsid w:val="52DC7C0E"/>
    <w:rsid w:val="52DD5B35"/>
    <w:rsid w:val="52DF42EC"/>
    <w:rsid w:val="52E427EA"/>
    <w:rsid w:val="52EB52A5"/>
    <w:rsid w:val="52EF0051"/>
    <w:rsid w:val="52F34726"/>
    <w:rsid w:val="52FC1C88"/>
    <w:rsid w:val="53024474"/>
    <w:rsid w:val="53047263"/>
    <w:rsid w:val="53084462"/>
    <w:rsid w:val="53112C1D"/>
    <w:rsid w:val="531241BA"/>
    <w:rsid w:val="53155215"/>
    <w:rsid w:val="531621BA"/>
    <w:rsid w:val="531D0F10"/>
    <w:rsid w:val="53207ABD"/>
    <w:rsid w:val="53290BFD"/>
    <w:rsid w:val="53293966"/>
    <w:rsid w:val="532C389F"/>
    <w:rsid w:val="532F6301"/>
    <w:rsid w:val="533E0346"/>
    <w:rsid w:val="534246C3"/>
    <w:rsid w:val="53495ACD"/>
    <w:rsid w:val="535337EC"/>
    <w:rsid w:val="53556970"/>
    <w:rsid w:val="5366542B"/>
    <w:rsid w:val="536D41AE"/>
    <w:rsid w:val="536F7573"/>
    <w:rsid w:val="53763151"/>
    <w:rsid w:val="53794E20"/>
    <w:rsid w:val="537A78AC"/>
    <w:rsid w:val="537D3C2F"/>
    <w:rsid w:val="5391597D"/>
    <w:rsid w:val="53943B08"/>
    <w:rsid w:val="53947DE7"/>
    <w:rsid w:val="539650C0"/>
    <w:rsid w:val="53967964"/>
    <w:rsid w:val="53A106E5"/>
    <w:rsid w:val="53A27D95"/>
    <w:rsid w:val="53A911A1"/>
    <w:rsid w:val="53DB35A3"/>
    <w:rsid w:val="53DC2808"/>
    <w:rsid w:val="53DF54A9"/>
    <w:rsid w:val="53E07B00"/>
    <w:rsid w:val="53E27BE1"/>
    <w:rsid w:val="53F90D34"/>
    <w:rsid w:val="53FA6BAC"/>
    <w:rsid w:val="54002BFD"/>
    <w:rsid w:val="541942B6"/>
    <w:rsid w:val="541B6ED4"/>
    <w:rsid w:val="54272DD2"/>
    <w:rsid w:val="542A3FEF"/>
    <w:rsid w:val="542A5504"/>
    <w:rsid w:val="542F7A60"/>
    <w:rsid w:val="54346136"/>
    <w:rsid w:val="5452765B"/>
    <w:rsid w:val="54550067"/>
    <w:rsid w:val="54580F5A"/>
    <w:rsid w:val="5478695B"/>
    <w:rsid w:val="54860559"/>
    <w:rsid w:val="548810E8"/>
    <w:rsid w:val="54906088"/>
    <w:rsid w:val="54907EF0"/>
    <w:rsid w:val="549438A5"/>
    <w:rsid w:val="549C4F36"/>
    <w:rsid w:val="549C6534"/>
    <w:rsid w:val="54A14490"/>
    <w:rsid w:val="54A153FA"/>
    <w:rsid w:val="54AB29C5"/>
    <w:rsid w:val="54AB36A1"/>
    <w:rsid w:val="54B171C4"/>
    <w:rsid w:val="54B61DA8"/>
    <w:rsid w:val="54B62C99"/>
    <w:rsid w:val="54CC47C4"/>
    <w:rsid w:val="54DF688B"/>
    <w:rsid w:val="54E95643"/>
    <w:rsid w:val="550E6C32"/>
    <w:rsid w:val="551C2E90"/>
    <w:rsid w:val="554E0863"/>
    <w:rsid w:val="555737A6"/>
    <w:rsid w:val="55577AFF"/>
    <w:rsid w:val="55611FED"/>
    <w:rsid w:val="556C1CC4"/>
    <w:rsid w:val="55712540"/>
    <w:rsid w:val="55743D64"/>
    <w:rsid w:val="5577741D"/>
    <w:rsid w:val="557D4E7F"/>
    <w:rsid w:val="558126EC"/>
    <w:rsid w:val="55851522"/>
    <w:rsid w:val="55883323"/>
    <w:rsid w:val="55883669"/>
    <w:rsid w:val="558A44CE"/>
    <w:rsid w:val="55906233"/>
    <w:rsid w:val="559417F6"/>
    <w:rsid w:val="559537DA"/>
    <w:rsid w:val="55A578C3"/>
    <w:rsid w:val="55A63100"/>
    <w:rsid w:val="55B403DD"/>
    <w:rsid w:val="55B511EE"/>
    <w:rsid w:val="55C0140E"/>
    <w:rsid w:val="55C529C2"/>
    <w:rsid w:val="55CC27C2"/>
    <w:rsid w:val="55CF48E7"/>
    <w:rsid w:val="55D0342A"/>
    <w:rsid w:val="55D50C9C"/>
    <w:rsid w:val="55D849A1"/>
    <w:rsid w:val="55E31A15"/>
    <w:rsid w:val="55E5367A"/>
    <w:rsid w:val="55E83D2F"/>
    <w:rsid w:val="560469FC"/>
    <w:rsid w:val="56054921"/>
    <w:rsid w:val="5609174E"/>
    <w:rsid w:val="56124785"/>
    <w:rsid w:val="56214A7B"/>
    <w:rsid w:val="562E1F90"/>
    <w:rsid w:val="56373380"/>
    <w:rsid w:val="563B616D"/>
    <w:rsid w:val="56436207"/>
    <w:rsid w:val="56492561"/>
    <w:rsid w:val="565B61BB"/>
    <w:rsid w:val="566510CB"/>
    <w:rsid w:val="567215D4"/>
    <w:rsid w:val="567A6CC0"/>
    <w:rsid w:val="567E4F7B"/>
    <w:rsid w:val="568D0940"/>
    <w:rsid w:val="56902B88"/>
    <w:rsid w:val="56927DA4"/>
    <w:rsid w:val="56A032E3"/>
    <w:rsid w:val="56A04928"/>
    <w:rsid w:val="56A10807"/>
    <w:rsid w:val="56A418DC"/>
    <w:rsid w:val="56A50EBB"/>
    <w:rsid w:val="56A83AE3"/>
    <w:rsid w:val="56AB6535"/>
    <w:rsid w:val="56AD339E"/>
    <w:rsid w:val="56B0619F"/>
    <w:rsid w:val="56B16CBD"/>
    <w:rsid w:val="56B75314"/>
    <w:rsid w:val="56B96F66"/>
    <w:rsid w:val="56BE75C0"/>
    <w:rsid w:val="56C12AE4"/>
    <w:rsid w:val="56C71CAD"/>
    <w:rsid w:val="56CE5F20"/>
    <w:rsid w:val="56DA3EBA"/>
    <w:rsid w:val="56DE40C5"/>
    <w:rsid w:val="56E33383"/>
    <w:rsid w:val="56E3751D"/>
    <w:rsid w:val="56E81DBE"/>
    <w:rsid w:val="56ED5E03"/>
    <w:rsid w:val="56F843F4"/>
    <w:rsid w:val="56FB0134"/>
    <w:rsid w:val="57012351"/>
    <w:rsid w:val="57095761"/>
    <w:rsid w:val="571B1F7E"/>
    <w:rsid w:val="571D34AC"/>
    <w:rsid w:val="57292292"/>
    <w:rsid w:val="572E4793"/>
    <w:rsid w:val="572E7E52"/>
    <w:rsid w:val="573403E6"/>
    <w:rsid w:val="573459F0"/>
    <w:rsid w:val="573B3910"/>
    <w:rsid w:val="574460A0"/>
    <w:rsid w:val="57484376"/>
    <w:rsid w:val="574B4B12"/>
    <w:rsid w:val="575425F9"/>
    <w:rsid w:val="575A2017"/>
    <w:rsid w:val="575C5FBB"/>
    <w:rsid w:val="57685F5D"/>
    <w:rsid w:val="57692A18"/>
    <w:rsid w:val="576D6DDF"/>
    <w:rsid w:val="57702374"/>
    <w:rsid w:val="57780ED4"/>
    <w:rsid w:val="577E3A90"/>
    <w:rsid w:val="57886A0D"/>
    <w:rsid w:val="57896321"/>
    <w:rsid w:val="57934987"/>
    <w:rsid w:val="579A7C07"/>
    <w:rsid w:val="57A15E0B"/>
    <w:rsid w:val="57A46FEE"/>
    <w:rsid w:val="57AF7168"/>
    <w:rsid w:val="57B02763"/>
    <w:rsid w:val="57B6547E"/>
    <w:rsid w:val="57BC7C9C"/>
    <w:rsid w:val="57BF6387"/>
    <w:rsid w:val="57D01AAC"/>
    <w:rsid w:val="57DA0D38"/>
    <w:rsid w:val="57DD4E33"/>
    <w:rsid w:val="57DF6500"/>
    <w:rsid w:val="57E60B9B"/>
    <w:rsid w:val="57E73B61"/>
    <w:rsid w:val="57F01737"/>
    <w:rsid w:val="57F73696"/>
    <w:rsid w:val="58005923"/>
    <w:rsid w:val="5803475B"/>
    <w:rsid w:val="580A6FBE"/>
    <w:rsid w:val="580F5BC1"/>
    <w:rsid w:val="5822786C"/>
    <w:rsid w:val="58243371"/>
    <w:rsid w:val="58293CFC"/>
    <w:rsid w:val="58302962"/>
    <w:rsid w:val="5835010B"/>
    <w:rsid w:val="5846366F"/>
    <w:rsid w:val="58484F55"/>
    <w:rsid w:val="58563BF0"/>
    <w:rsid w:val="58590DD2"/>
    <w:rsid w:val="5863473D"/>
    <w:rsid w:val="586C2A31"/>
    <w:rsid w:val="586E1447"/>
    <w:rsid w:val="5878285F"/>
    <w:rsid w:val="587E2D46"/>
    <w:rsid w:val="588509DD"/>
    <w:rsid w:val="588D555E"/>
    <w:rsid w:val="58937684"/>
    <w:rsid w:val="58953B9F"/>
    <w:rsid w:val="58957A8C"/>
    <w:rsid w:val="589C0BA1"/>
    <w:rsid w:val="589F18E4"/>
    <w:rsid w:val="58A26665"/>
    <w:rsid w:val="58A948C8"/>
    <w:rsid w:val="58B156C4"/>
    <w:rsid w:val="58B8443B"/>
    <w:rsid w:val="58BC4002"/>
    <w:rsid w:val="58C6178A"/>
    <w:rsid w:val="58DB456A"/>
    <w:rsid w:val="58E909DD"/>
    <w:rsid w:val="58EB1C90"/>
    <w:rsid w:val="58F57D12"/>
    <w:rsid w:val="59267EF0"/>
    <w:rsid w:val="59376E4C"/>
    <w:rsid w:val="59421F7E"/>
    <w:rsid w:val="59424509"/>
    <w:rsid w:val="594935F2"/>
    <w:rsid w:val="594C2750"/>
    <w:rsid w:val="595C0946"/>
    <w:rsid w:val="59604A5E"/>
    <w:rsid w:val="59642A7A"/>
    <w:rsid w:val="596D32B4"/>
    <w:rsid w:val="59774D3E"/>
    <w:rsid w:val="598E177F"/>
    <w:rsid w:val="599148CE"/>
    <w:rsid w:val="59A22883"/>
    <w:rsid w:val="59A24ED6"/>
    <w:rsid w:val="59AF0514"/>
    <w:rsid w:val="59B42B96"/>
    <w:rsid w:val="59B6531E"/>
    <w:rsid w:val="59B75E8A"/>
    <w:rsid w:val="59BC0F73"/>
    <w:rsid w:val="59BD2911"/>
    <w:rsid w:val="59BE1CC3"/>
    <w:rsid w:val="59C13A26"/>
    <w:rsid w:val="59D906FD"/>
    <w:rsid w:val="59D96DAD"/>
    <w:rsid w:val="59DA6C9E"/>
    <w:rsid w:val="59E11C9B"/>
    <w:rsid w:val="59EB0D06"/>
    <w:rsid w:val="59F32024"/>
    <w:rsid w:val="59F44D39"/>
    <w:rsid w:val="59F511B7"/>
    <w:rsid w:val="59FF2F18"/>
    <w:rsid w:val="5A05470A"/>
    <w:rsid w:val="5A0640DE"/>
    <w:rsid w:val="5A1215B1"/>
    <w:rsid w:val="5A1D0AF2"/>
    <w:rsid w:val="5A1E6A9C"/>
    <w:rsid w:val="5A1F5196"/>
    <w:rsid w:val="5A227353"/>
    <w:rsid w:val="5A265096"/>
    <w:rsid w:val="5A2943A6"/>
    <w:rsid w:val="5A2A1B2C"/>
    <w:rsid w:val="5A2A6592"/>
    <w:rsid w:val="5A2D0557"/>
    <w:rsid w:val="5A340B09"/>
    <w:rsid w:val="5A3F3527"/>
    <w:rsid w:val="5A440B9D"/>
    <w:rsid w:val="5A5128C3"/>
    <w:rsid w:val="5A525A46"/>
    <w:rsid w:val="5A575C31"/>
    <w:rsid w:val="5A5C7772"/>
    <w:rsid w:val="5A6336A1"/>
    <w:rsid w:val="5A64733B"/>
    <w:rsid w:val="5A6B7C88"/>
    <w:rsid w:val="5A6E44C5"/>
    <w:rsid w:val="5A73612A"/>
    <w:rsid w:val="5A8F76C1"/>
    <w:rsid w:val="5A9A0A66"/>
    <w:rsid w:val="5AA541CF"/>
    <w:rsid w:val="5AAF48E4"/>
    <w:rsid w:val="5AB96041"/>
    <w:rsid w:val="5ABC4831"/>
    <w:rsid w:val="5ABC6BFA"/>
    <w:rsid w:val="5AC366EB"/>
    <w:rsid w:val="5AC43AE0"/>
    <w:rsid w:val="5AD054B7"/>
    <w:rsid w:val="5AD149C0"/>
    <w:rsid w:val="5AD510F0"/>
    <w:rsid w:val="5ADE59C5"/>
    <w:rsid w:val="5AF82FCA"/>
    <w:rsid w:val="5AF8657A"/>
    <w:rsid w:val="5AFE5C3F"/>
    <w:rsid w:val="5B000850"/>
    <w:rsid w:val="5B187495"/>
    <w:rsid w:val="5B1945A0"/>
    <w:rsid w:val="5B1B10FA"/>
    <w:rsid w:val="5B1B5003"/>
    <w:rsid w:val="5B225A79"/>
    <w:rsid w:val="5B2445B5"/>
    <w:rsid w:val="5B2559CC"/>
    <w:rsid w:val="5B2A41C4"/>
    <w:rsid w:val="5B492D29"/>
    <w:rsid w:val="5B532679"/>
    <w:rsid w:val="5B570BDE"/>
    <w:rsid w:val="5B5B64C5"/>
    <w:rsid w:val="5B6207A7"/>
    <w:rsid w:val="5B627DC7"/>
    <w:rsid w:val="5B6C5737"/>
    <w:rsid w:val="5B763263"/>
    <w:rsid w:val="5B896F76"/>
    <w:rsid w:val="5B8F287C"/>
    <w:rsid w:val="5B975E5B"/>
    <w:rsid w:val="5B9C0984"/>
    <w:rsid w:val="5B9D4973"/>
    <w:rsid w:val="5BA65080"/>
    <w:rsid w:val="5BB214B7"/>
    <w:rsid w:val="5BB576AD"/>
    <w:rsid w:val="5BBE6EBD"/>
    <w:rsid w:val="5BC02787"/>
    <w:rsid w:val="5BC52B9A"/>
    <w:rsid w:val="5BD41880"/>
    <w:rsid w:val="5BD627D7"/>
    <w:rsid w:val="5BE23D1E"/>
    <w:rsid w:val="5BE24CD9"/>
    <w:rsid w:val="5BE41B92"/>
    <w:rsid w:val="5BE50680"/>
    <w:rsid w:val="5BE52EE1"/>
    <w:rsid w:val="5BEA2231"/>
    <w:rsid w:val="5BF23EBC"/>
    <w:rsid w:val="5BF524ED"/>
    <w:rsid w:val="5BF65E64"/>
    <w:rsid w:val="5BFD4032"/>
    <w:rsid w:val="5BFF0C86"/>
    <w:rsid w:val="5C087355"/>
    <w:rsid w:val="5C0C750E"/>
    <w:rsid w:val="5C0E435F"/>
    <w:rsid w:val="5C135532"/>
    <w:rsid w:val="5C1832F4"/>
    <w:rsid w:val="5C1A3044"/>
    <w:rsid w:val="5C250D3B"/>
    <w:rsid w:val="5C3B2DCF"/>
    <w:rsid w:val="5C500AF8"/>
    <w:rsid w:val="5C523483"/>
    <w:rsid w:val="5C5348B4"/>
    <w:rsid w:val="5C5E033F"/>
    <w:rsid w:val="5C6875EE"/>
    <w:rsid w:val="5C6F12DC"/>
    <w:rsid w:val="5C7A2919"/>
    <w:rsid w:val="5C890156"/>
    <w:rsid w:val="5C9572EC"/>
    <w:rsid w:val="5CBF4297"/>
    <w:rsid w:val="5CC43404"/>
    <w:rsid w:val="5CC93DAE"/>
    <w:rsid w:val="5CD31EE3"/>
    <w:rsid w:val="5CD56B70"/>
    <w:rsid w:val="5CE1654F"/>
    <w:rsid w:val="5CE47CF9"/>
    <w:rsid w:val="5CF70E19"/>
    <w:rsid w:val="5D00730C"/>
    <w:rsid w:val="5D072BC8"/>
    <w:rsid w:val="5D076525"/>
    <w:rsid w:val="5D0A3A75"/>
    <w:rsid w:val="5D19384D"/>
    <w:rsid w:val="5D22473A"/>
    <w:rsid w:val="5D2B5629"/>
    <w:rsid w:val="5D315CEB"/>
    <w:rsid w:val="5D3926A3"/>
    <w:rsid w:val="5D3B59DF"/>
    <w:rsid w:val="5D473075"/>
    <w:rsid w:val="5D475E41"/>
    <w:rsid w:val="5D4822EE"/>
    <w:rsid w:val="5D5864DB"/>
    <w:rsid w:val="5D73393B"/>
    <w:rsid w:val="5D76353B"/>
    <w:rsid w:val="5D784379"/>
    <w:rsid w:val="5D7B3457"/>
    <w:rsid w:val="5D8B2715"/>
    <w:rsid w:val="5D8D250E"/>
    <w:rsid w:val="5D915AFD"/>
    <w:rsid w:val="5D9404A9"/>
    <w:rsid w:val="5D9A23F4"/>
    <w:rsid w:val="5D9F6617"/>
    <w:rsid w:val="5D9F7C74"/>
    <w:rsid w:val="5DAE2E8C"/>
    <w:rsid w:val="5DAE7F34"/>
    <w:rsid w:val="5DB65502"/>
    <w:rsid w:val="5DD66D11"/>
    <w:rsid w:val="5DD70750"/>
    <w:rsid w:val="5DE44DF4"/>
    <w:rsid w:val="5E00720B"/>
    <w:rsid w:val="5E012896"/>
    <w:rsid w:val="5E0825B2"/>
    <w:rsid w:val="5E0A6049"/>
    <w:rsid w:val="5E156B70"/>
    <w:rsid w:val="5E1574AD"/>
    <w:rsid w:val="5E21165A"/>
    <w:rsid w:val="5E226508"/>
    <w:rsid w:val="5E344390"/>
    <w:rsid w:val="5E352EB6"/>
    <w:rsid w:val="5E400BF0"/>
    <w:rsid w:val="5E4250B0"/>
    <w:rsid w:val="5E4A3E88"/>
    <w:rsid w:val="5E4E539E"/>
    <w:rsid w:val="5E565028"/>
    <w:rsid w:val="5E5F0687"/>
    <w:rsid w:val="5E680BE8"/>
    <w:rsid w:val="5E6B7FF0"/>
    <w:rsid w:val="5E783202"/>
    <w:rsid w:val="5E7842EE"/>
    <w:rsid w:val="5E803D55"/>
    <w:rsid w:val="5E854DAE"/>
    <w:rsid w:val="5EA648E2"/>
    <w:rsid w:val="5EB52E6F"/>
    <w:rsid w:val="5EC94A60"/>
    <w:rsid w:val="5ED95EEE"/>
    <w:rsid w:val="5EDE3633"/>
    <w:rsid w:val="5EE55DDE"/>
    <w:rsid w:val="5EF04AC4"/>
    <w:rsid w:val="5EF47473"/>
    <w:rsid w:val="5EF96C80"/>
    <w:rsid w:val="5EFE064F"/>
    <w:rsid w:val="5F061DE5"/>
    <w:rsid w:val="5F09081F"/>
    <w:rsid w:val="5F1111AD"/>
    <w:rsid w:val="5F121A0D"/>
    <w:rsid w:val="5F1B27DE"/>
    <w:rsid w:val="5F2C64A1"/>
    <w:rsid w:val="5F31507D"/>
    <w:rsid w:val="5F39582E"/>
    <w:rsid w:val="5F405CF4"/>
    <w:rsid w:val="5F45602C"/>
    <w:rsid w:val="5F4632C4"/>
    <w:rsid w:val="5F482400"/>
    <w:rsid w:val="5F4A58A7"/>
    <w:rsid w:val="5F527FC9"/>
    <w:rsid w:val="5F531ECF"/>
    <w:rsid w:val="5F57147C"/>
    <w:rsid w:val="5F6028D5"/>
    <w:rsid w:val="5F61415F"/>
    <w:rsid w:val="5F646936"/>
    <w:rsid w:val="5F7602E5"/>
    <w:rsid w:val="5F764A5E"/>
    <w:rsid w:val="5F7D66DE"/>
    <w:rsid w:val="5F810033"/>
    <w:rsid w:val="5F844DC9"/>
    <w:rsid w:val="5F8806B8"/>
    <w:rsid w:val="5F8C52DB"/>
    <w:rsid w:val="5F966692"/>
    <w:rsid w:val="5F99467F"/>
    <w:rsid w:val="5FA00A10"/>
    <w:rsid w:val="5FA4374A"/>
    <w:rsid w:val="5FA4380A"/>
    <w:rsid w:val="5FAB674F"/>
    <w:rsid w:val="5FB25387"/>
    <w:rsid w:val="5FC53509"/>
    <w:rsid w:val="5FD20829"/>
    <w:rsid w:val="5FD775DC"/>
    <w:rsid w:val="5FEB0680"/>
    <w:rsid w:val="5FF744A9"/>
    <w:rsid w:val="5FF76947"/>
    <w:rsid w:val="5FFB17C7"/>
    <w:rsid w:val="5FFE6C22"/>
    <w:rsid w:val="60000309"/>
    <w:rsid w:val="600B6B90"/>
    <w:rsid w:val="600C3224"/>
    <w:rsid w:val="600F6605"/>
    <w:rsid w:val="60143AD3"/>
    <w:rsid w:val="60281FCD"/>
    <w:rsid w:val="602876AC"/>
    <w:rsid w:val="603215F4"/>
    <w:rsid w:val="603771DA"/>
    <w:rsid w:val="604C5236"/>
    <w:rsid w:val="605006BC"/>
    <w:rsid w:val="60674769"/>
    <w:rsid w:val="607079E9"/>
    <w:rsid w:val="60734371"/>
    <w:rsid w:val="607F681A"/>
    <w:rsid w:val="60830460"/>
    <w:rsid w:val="6085543E"/>
    <w:rsid w:val="608B5C80"/>
    <w:rsid w:val="60907882"/>
    <w:rsid w:val="609258F0"/>
    <w:rsid w:val="6093287A"/>
    <w:rsid w:val="609517E9"/>
    <w:rsid w:val="609A2B73"/>
    <w:rsid w:val="609F1E8C"/>
    <w:rsid w:val="60B77B1A"/>
    <w:rsid w:val="60BA0952"/>
    <w:rsid w:val="60C02A5F"/>
    <w:rsid w:val="60C5483E"/>
    <w:rsid w:val="60C566E2"/>
    <w:rsid w:val="60C867C5"/>
    <w:rsid w:val="60D3354A"/>
    <w:rsid w:val="60D67E78"/>
    <w:rsid w:val="60DB0800"/>
    <w:rsid w:val="60DE0DB6"/>
    <w:rsid w:val="60E54273"/>
    <w:rsid w:val="60F46839"/>
    <w:rsid w:val="61027740"/>
    <w:rsid w:val="61034098"/>
    <w:rsid w:val="61067A64"/>
    <w:rsid w:val="610C7D1D"/>
    <w:rsid w:val="61105E47"/>
    <w:rsid w:val="6112529A"/>
    <w:rsid w:val="611A7B15"/>
    <w:rsid w:val="611C59F7"/>
    <w:rsid w:val="611F0B09"/>
    <w:rsid w:val="61200AAF"/>
    <w:rsid w:val="612D2321"/>
    <w:rsid w:val="61455CF4"/>
    <w:rsid w:val="61466898"/>
    <w:rsid w:val="615C74A1"/>
    <w:rsid w:val="615E3F04"/>
    <w:rsid w:val="61676068"/>
    <w:rsid w:val="616B25D0"/>
    <w:rsid w:val="616C1663"/>
    <w:rsid w:val="616E223F"/>
    <w:rsid w:val="617305C5"/>
    <w:rsid w:val="61751F59"/>
    <w:rsid w:val="617C28AF"/>
    <w:rsid w:val="618A6058"/>
    <w:rsid w:val="61963257"/>
    <w:rsid w:val="6196670E"/>
    <w:rsid w:val="61972737"/>
    <w:rsid w:val="619C38B4"/>
    <w:rsid w:val="61A4486B"/>
    <w:rsid w:val="61B33DDF"/>
    <w:rsid w:val="61BB4A1B"/>
    <w:rsid w:val="61BC23E5"/>
    <w:rsid w:val="61CD3107"/>
    <w:rsid w:val="61D21120"/>
    <w:rsid w:val="61DF2E3F"/>
    <w:rsid w:val="61E728F9"/>
    <w:rsid w:val="61F3667F"/>
    <w:rsid w:val="61F43F82"/>
    <w:rsid w:val="61FB110C"/>
    <w:rsid w:val="620B2B74"/>
    <w:rsid w:val="6210415F"/>
    <w:rsid w:val="62185165"/>
    <w:rsid w:val="621D66D4"/>
    <w:rsid w:val="622E2CF4"/>
    <w:rsid w:val="622F5ABF"/>
    <w:rsid w:val="623D0C68"/>
    <w:rsid w:val="62460FCD"/>
    <w:rsid w:val="62480FF0"/>
    <w:rsid w:val="624B14C1"/>
    <w:rsid w:val="624F0394"/>
    <w:rsid w:val="625A29D8"/>
    <w:rsid w:val="625B2CDA"/>
    <w:rsid w:val="625B47C2"/>
    <w:rsid w:val="62630C6B"/>
    <w:rsid w:val="627301E8"/>
    <w:rsid w:val="628E7C9B"/>
    <w:rsid w:val="6295194F"/>
    <w:rsid w:val="6299295E"/>
    <w:rsid w:val="629A07BC"/>
    <w:rsid w:val="62A33CA7"/>
    <w:rsid w:val="62B94634"/>
    <w:rsid w:val="62BA3B2B"/>
    <w:rsid w:val="62C170F8"/>
    <w:rsid w:val="62C37511"/>
    <w:rsid w:val="62D11C3F"/>
    <w:rsid w:val="62E157FC"/>
    <w:rsid w:val="62E81148"/>
    <w:rsid w:val="62F76986"/>
    <w:rsid w:val="62FA3D7F"/>
    <w:rsid w:val="63074CE8"/>
    <w:rsid w:val="631360BB"/>
    <w:rsid w:val="63212420"/>
    <w:rsid w:val="632936A9"/>
    <w:rsid w:val="632F06D8"/>
    <w:rsid w:val="63317698"/>
    <w:rsid w:val="63340EAE"/>
    <w:rsid w:val="63443DC2"/>
    <w:rsid w:val="634B6A95"/>
    <w:rsid w:val="634F6CB9"/>
    <w:rsid w:val="635E6984"/>
    <w:rsid w:val="63615D3E"/>
    <w:rsid w:val="6367139B"/>
    <w:rsid w:val="63683422"/>
    <w:rsid w:val="636C62BA"/>
    <w:rsid w:val="637801C4"/>
    <w:rsid w:val="637E4E20"/>
    <w:rsid w:val="63821D61"/>
    <w:rsid w:val="63827E36"/>
    <w:rsid w:val="63842477"/>
    <w:rsid w:val="638823F9"/>
    <w:rsid w:val="638B04D2"/>
    <w:rsid w:val="63A85CD1"/>
    <w:rsid w:val="63AB2A39"/>
    <w:rsid w:val="63B02C42"/>
    <w:rsid w:val="63B17518"/>
    <w:rsid w:val="63BC563F"/>
    <w:rsid w:val="63C51AD9"/>
    <w:rsid w:val="63C54411"/>
    <w:rsid w:val="63C733FE"/>
    <w:rsid w:val="63CD27C8"/>
    <w:rsid w:val="63CF2629"/>
    <w:rsid w:val="63D40E51"/>
    <w:rsid w:val="63D85FCA"/>
    <w:rsid w:val="63E263F4"/>
    <w:rsid w:val="63E418C9"/>
    <w:rsid w:val="63F81AB3"/>
    <w:rsid w:val="63FD7654"/>
    <w:rsid w:val="640C2BB6"/>
    <w:rsid w:val="6411454E"/>
    <w:rsid w:val="64225DD5"/>
    <w:rsid w:val="643F3FFC"/>
    <w:rsid w:val="644A69BC"/>
    <w:rsid w:val="645B5DC0"/>
    <w:rsid w:val="645E5B71"/>
    <w:rsid w:val="646A06E2"/>
    <w:rsid w:val="646C4EF1"/>
    <w:rsid w:val="646C4FB8"/>
    <w:rsid w:val="64706C6F"/>
    <w:rsid w:val="6471159B"/>
    <w:rsid w:val="64814078"/>
    <w:rsid w:val="648B777B"/>
    <w:rsid w:val="64937D17"/>
    <w:rsid w:val="6494650D"/>
    <w:rsid w:val="64984C13"/>
    <w:rsid w:val="649A6134"/>
    <w:rsid w:val="649D2569"/>
    <w:rsid w:val="64A157DA"/>
    <w:rsid w:val="64A51362"/>
    <w:rsid w:val="64A55A03"/>
    <w:rsid w:val="64A62D1B"/>
    <w:rsid w:val="64AD4200"/>
    <w:rsid w:val="64B453B1"/>
    <w:rsid w:val="64BE5702"/>
    <w:rsid w:val="64C16289"/>
    <w:rsid w:val="64C60DF6"/>
    <w:rsid w:val="64CF05E4"/>
    <w:rsid w:val="64D93F02"/>
    <w:rsid w:val="64E5543E"/>
    <w:rsid w:val="64E76F6D"/>
    <w:rsid w:val="64EA4517"/>
    <w:rsid w:val="64FC561C"/>
    <w:rsid w:val="64FE0E31"/>
    <w:rsid w:val="65181463"/>
    <w:rsid w:val="651A5C6A"/>
    <w:rsid w:val="651C38DB"/>
    <w:rsid w:val="65201F4F"/>
    <w:rsid w:val="65204394"/>
    <w:rsid w:val="6522790C"/>
    <w:rsid w:val="652C76EF"/>
    <w:rsid w:val="652D6A57"/>
    <w:rsid w:val="653E78B1"/>
    <w:rsid w:val="65403733"/>
    <w:rsid w:val="654066D8"/>
    <w:rsid w:val="65427957"/>
    <w:rsid w:val="65430291"/>
    <w:rsid w:val="654468BF"/>
    <w:rsid w:val="655754CB"/>
    <w:rsid w:val="655E2D72"/>
    <w:rsid w:val="656171FC"/>
    <w:rsid w:val="65635CAF"/>
    <w:rsid w:val="65636611"/>
    <w:rsid w:val="656F1A01"/>
    <w:rsid w:val="6570700F"/>
    <w:rsid w:val="657F0CE6"/>
    <w:rsid w:val="65833C4F"/>
    <w:rsid w:val="658B37B6"/>
    <w:rsid w:val="6590595E"/>
    <w:rsid w:val="65972789"/>
    <w:rsid w:val="659C17EE"/>
    <w:rsid w:val="659D6D24"/>
    <w:rsid w:val="65A65E7D"/>
    <w:rsid w:val="65BC6E17"/>
    <w:rsid w:val="65BD3777"/>
    <w:rsid w:val="65BE5ECC"/>
    <w:rsid w:val="65CF4297"/>
    <w:rsid w:val="65D64BB3"/>
    <w:rsid w:val="65D70270"/>
    <w:rsid w:val="65D80B18"/>
    <w:rsid w:val="65E91B08"/>
    <w:rsid w:val="65F5725F"/>
    <w:rsid w:val="66032E7B"/>
    <w:rsid w:val="66053581"/>
    <w:rsid w:val="660A19B0"/>
    <w:rsid w:val="661026AA"/>
    <w:rsid w:val="661635F6"/>
    <w:rsid w:val="661D3F49"/>
    <w:rsid w:val="66213A5C"/>
    <w:rsid w:val="6624683A"/>
    <w:rsid w:val="662D2EA4"/>
    <w:rsid w:val="663027C2"/>
    <w:rsid w:val="6631571B"/>
    <w:rsid w:val="663D054E"/>
    <w:rsid w:val="66460692"/>
    <w:rsid w:val="6658158E"/>
    <w:rsid w:val="66631FDD"/>
    <w:rsid w:val="66727620"/>
    <w:rsid w:val="667930F9"/>
    <w:rsid w:val="6679372B"/>
    <w:rsid w:val="667B3C56"/>
    <w:rsid w:val="66953491"/>
    <w:rsid w:val="66980BF6"/>
    <w:rsid w:val="66A139AB"/>
    <w:rsid w:val="66A56CDB"/>
    <w:rsid w:val="66B81454"/>
    <w:rsid w:val="66BE1292"/>
    <w:rsid w:val="66BF76F1"/>
    <w:rsid w:val="66D553C4"/>
    <w:rsid w:val="66D61A8D"/>
    <w:rsid w:val="66DA3497"/>
    <w:rsid w:val="66DC5BF8"/>
    <w:rsid w:val="66E173F9"/>
    <w:rsid w:val="66E3226C"/>
    <w:rsid w:val="66E611A7"/>
    <w:rsid w:val="66EC5E36"/>
    <w:rsid w:val="66F76034"/>
    <w:rsid w:val="67066C06"/>
    <w:rsid w:val="670E7B80"/>
    <w:rsid w:val="6713591F"/>
    <w:rsid w:val="67181932"/>
    <w:rsid w:val="6726232E"/>
    <w:rsid w:val="672A4901"/>
    <w:rsid w:val="67331724"/>
    <w:rsid w:val="67346319"/>
    <w:rsid w:val="67441B08"/>
    <w:rsid w:val="674E2802"/>
    <w:rsid w:val="67513E69"/>
    <w:rsid w:val="67577531"/>
    <w:rsid w:val="675A17FE"/>
    <w:rsid w:val="6768655A"/>
    <w:rsid w:val="676E1585"/>
    <w:rsid w:val="67775952"/>
    <w:rsid w:val="677E2FA1"/>
    <w:rsid w:val="67836FB1"/>
    <w:rsid w:val="678A12A7"/>
    <w:rsid w:val="678A44B2"/>
    <w:rsid w:val="678C1D52"/>
    <w:rsid w:val="678D19D7"/>
    <w:rsid w:val="67973403"/>
    <w:rsid w:val="67A67078"/>
    <w:rsid w:val="67AC341B"/>
    <w:rsid w:val="67AF1128"/>
    <w:rsid w:val="67B42C3D"/>
    <w:rsid w:val="67C149C0"/>
    <w:rsid w:val="67C7427D"/>
    <w:rsid w:val="67CA7967"/>
    <w:rsid w:val="67CC38C5"/>
    <w:rsid w:val="67D9695E"/>
    <w:rsid w:val="67DC5CEA"/>
    <w:rsid w:val="67DF18A0"/>
    <w:rsid w:val="67E024C8"/>
    <w:rsid w:val="67F5522D"/>
    <w:rsid w:val="67F73BC6"/>
    <w:rsid w:val="680965F8"/>
    <w:rsid w:val="680E4ECF"/>
    <w:rsid w:val="6811066C"/>
    <w:rsid w:val="68135F70"/>
    <w:rsid w:val="681778E7"/>
    <w:rsid w:val="681B5BF4"/>
    <w:rsid w:val="68240EAA"/>
    <w:rsid w:val="6825323C"/>
    <w:rsid w:val="68326370"/>
    <w:rsid w:val="68356624"/>
    <w:rsid w:val="683D75A2"/>
    <w:rsid w:val="68436C4F"/>
    <w:rsid w:val="68451270"/>
    <w:rsid w:val="6850356A"/>
    <w:rsid w:val="685465AC"/>
    <w:rsid w:val="68650339"/>
    <w:rsid w:val="68733F18"/>
    <w:rsid w:val="687442EE"/>
    <w:rsid w:val="68772A56"/>
    <w:rsid w:val="689B3E14"/>
    <w:rsid w:val="689C5C1D"/>
    <w:rsid w:val="689D6F4C"/>
    <w:rsid w:val="689F2FA0"/>
    <w:rsid w:val="68A02CE9"/>
    <w:rsid w:val="68A41350"/>
    <w:rsid w:val="68AD26AA"/>
    <w:rsid w:val="68AE2B22"/>
    <w:rsid w:val="68BC14B0"/>
    <w:rsid w:val="68BC512A"/>
    <w:rsid w:val="68BF0078"/>
    <w:rsid w:val="68C20D16"/>
    <w:rsid w:val="68DD619B"/>
    <w:rsid w:val="68ED69A7"/>
    <w:rsid w:val="68FD5593"/>
    <w:rsid w:val="6911326A"/>
    <w:rsid w:val="69183F42"/>
    <w:rsid w:val="691A0EAA"/>
    <w:rsid w:val="691B307E"/>
    <w:rsid w:val="692B3BF3"/>
    <w:rsid w:val="69301A1D"/>
    <w:rsid w:val="6934218F"/>
    <w:rsid w:val="693C5AA5"/>
    <w:rsid w:val="693D00F1"/>
    <w:rsid w:val="693E13B7"/>
    <w:rsid w:val="69421566"/>
    <w:rsid w:val="694A6D5C"/>
    <w:rsid w:val="6951205B"/>
    <w:rsid w:val="6953741D"/>
    <w:rsid w:val="69552B47"/>
    <w:rsid w:val="6956014F"/>
    <w:rsid w:val="696F3842"/>
    <w:rsid w:val="69731101"/>
    <w:rsid w:val="6974083C"/>
    <w:rsid w:val="697D087B"/>
    <w:rsid w:val="69807B1E"/>
    <w:rsid w:val="69872301"/>
    <w:rsid w:val="69A71B52"/>
    <w:rsid w:val="69A7770D"/>
    <w:rsid w:val="69A966F8"/>
    <w:rsid w:val="69AC0B64"/>
    <w:rsid w:val="69B27491"/>
    <w:rsid w:val="69B27C94"/>
    <w:rsid w:val="69BA2288"/>
    <w:rsid w:val="69BB7CE2"/>
    <w:rsid w:val="69D2134C"/>
    <w:rsid w:val="69D537ED"/>
    <w:rsid w:val="69DC3AC1"/>
    <w:rsid w:val="69E6402E"/>
    <w:rsid w:val="69E673F8"/>
    <w:rsid w:val="69EA6C64"/>
    <w:rsid w:val="69EB2120"/>
    <w:rsid w:val="69ED4ABB"/>
    <w:rsid w:val="69EF180F"/>
    <w:rsid w:val="69F00B35"/>
    <w:rsid w:val="69F10C55"/>
    <w:rsid w:val="69F224F8"/>
    <w:rsid w:val="69F3045E"/>
    <w:rsid w:val="69F3790F"/>
    <w:rsid w:val="6A036F5F"/>
    <w:rsid w:val="6A12415B"/>
    <w:rsid w:val="6A152CC8"/>
    <w:rsid w:val="6A160367"/>
    <w:rsid w:val="6A1D05D4"/>
    <w:rsid w:val="6A25601C"/>
    <w:rsid w:val="6A2750C5"/>
    <w:rsid w:val="6A290AA5"/>
    <w:rsid w:val="6A2A46CE"/>
    <w:rsid w:val="6A2F521E"/>
    <w:rsid w:val="6A3A1167"/>
    <w:rsid w:val="6A3D030C"/>
    <w:rsid w:val="6A3F4FDB"/>
    <w:rsid w:val="6A532FF6"/>
    <w:rsid w:val="6A601C8F"/>
    <w:rsid w:val="6A7174A5"/>
    <w:rsid w:val="6A72508F"/>
    <w:rsid w:val="6A732254"/>
    <w:rsid w:val="6A774894"/>
    <w:rsid w:val="6A80364F"/>
    <w:rsid w:val="6A8C3EFF"/>
    <w:rsid w:val="6A9154EC"/>
    <w:rsid w:val="6A916EED"/>
    <w:rsid w:val="6A9371B0"/>
    <w:rsid w:val="6A937D23"/>
    <w:rsid w:val="6A960003"/>
    <w:rsid w:val="6A9B5915"/>
    <w:rsid w:val="6A9B7735"/>
    <w:rsid w:val="6AA02774"/>
    <w:rsid w:val="6AA258AD"/>
    <w:rsid w:val="6AA41157"/>
    <w:rsid w:val="6AAF2259"/>
    <w:rsid w:val="6AB45A03"/>
    <w:rsid w:val="6ABE4FFD"/>
    <w:rsid w:val="6AD909E0"/>
    <w:rsid w:val="6ADC49EF"/>
    <w:rsid w:val="6ADD4FD8"/>
    <w:rsid w:val="6ADD71F3"/>
    <w:rsid w:val="6AE26C27"/>
    <w:rsid w:val="6AED013C"/>
    <w:rsid w:val="6AEE59AB"/>
    <w:rsid w:val="6AF159FF"/>
    <w:rsid w:val="6AF57F3A"/>
    <w:rsid w:val="6AF63F29"/>
    <w:rsid w:val="6AFB7DF3"/>
    <w:rsid w:val="6AFE4F30"/>
    <w:rsid w:val="6B0E002C"/>
    <w:rsid w:val="6B21318E"/>
    <w:rsid w:val="6B254FA3"/>
    <w:rsid w:val="6B285741"/>
    <w:rsid w:val="6B340EF1"/>
    <w:rsid w:val="6B3D06AC"/>
    <w:rsid w:val="6B444BB7"/>
    <w:rsid w:val="6B447945"/>
    <w:rsid w:val="6B472052"/>
    <w:rsid w:val="6B4B2C3B"/>
    <w:rsid w:val="6B4E4A00"/>
    <w:rsid w:val="6B4F6669"/>
    <w:rsid w:val="6B5278F5"/>
    <w:rsid w:val="6B5A64D2"/>
    <w:rsid w:val="6B5B0A52"/>
    <w:rsid w:val="6B5B7CD6"/>
    <w:rsid w:val="6B5D2504"/>
    <w:rsid w:val="6B6C560D"/>
    <w:rsid w:val="6B705E52"/>
    <w:rsid w:val="6B735BFD"/>
    <w:rsid w:val="6B785D05"/>
    <w:rsid w:val="6B7F7BD7"/>
    <w:rsid w:val="6B846AF2"/>
    <w:rsid w:val="6B95396B"/>
    <w:rsid w:val="6BAC0EF7"/>
    <w:rsid w:val="6BBB00B1"/>
    <w:rsid w:val="6BBD3E9D"/>
    <w:rsid w:val="6BC03721"/>
    <w:rsid w:val="6BC51A97"/>
    <w:rsid w:val="6BCC01D5"/>
    <w:rsid w:val="6BCF2DCA"/>
    <w:rsid w:val="6BDD0493"/>
    <w:rsid w:val="6BDE54AC"/>
    <w:rsid w:val="6BE068F6"/>
    <w:rsid w:val="6BE072B5"/>
    <w:rsid w:val="6BEC52EB"/>
    <w:rsid w:val="6BF229CE"/>
    <w:rsid w:val="6BF25C39"/>
    <w:rsid w:val="6C06150E"/>
    <w:rsid w:val="6C155F31"/>
    <w:rsid w:val="6C206E21"/>
    <w:rsid w:val="6C263A06"/>
    <w:rsid w:val="6C3A624E"/>
    <w:rsid w:val="6C3F4795"/>
    <w:rsid w:val="6C431738"/>
    <w:rsid w:val="6C505966"/>
    <w:rsid w:val="6C5D04BB"/>
    <w:rsid w:val="6C666C3C"/>
    <w:rsid w:val="6C6833E1"/>
    <w:rsid w:val="6C8E4315"/>
    <w:rsid w:val="6C95615F"/>
    <w:rsid w:val="6CA94419"/>
    <w:rsid w:val="6CB242A2"/>
    <w:rsid w:val="6CC818AD"/>
    <w:rsid w:val="6CE0612A"/>
    <w:rsid w:val="6CE269D3"/>
    <w:rsid w:val="6CED284E"/>
    <w:rsid w:val="6CF04EB7"/>
    <w:rsid w:val="6CF17872"/>
    <w:rsid w:val="6CF76712"/>
    <w:rsid w:val="6CF8307E"/>
    <w:rsid w:val="6CFD23D1"/>
    <w:rsid w:val="6D033EFD"/>
    <w:rsid w:val="6D0A7734"/>
    <w:rsid w:val="6D0B0E35"/>
    <w:rsid w:val="6D0D6D19"/>
    <w:rsid w:val="6D2353C8"/>
    <w:rsid w:val="6D274676"/>
    <w:rsid w:val="6D2F4B50"/>
    <w:rsid w:val="6D385ED1"/>
    <w:rsid w:val="6D3967DF"/>
    <w:rsid w:val="6D3C14B2"/>
    <w:rsid w:val="6D436625"/>
    <w:rsid w:val="6D4720E6"/>
    <w:rsid w:val="6D4A7F79"/>
    <w:rsid w:val="6D4B7436"/>
    <w:rsid w:val="6D5E64E8"/>
    <w:rsid w:val="6D652ED0"/>
    <w:rsid w:val="6D662717"/>
    <w:rsid w:val="6D663299"/>
    <w:rsid w:val="6D770FC8"/>
    <w:rsid w:val="6D7D5646"/>
    <w:rsid w:val="6D816186"/>
    <w:rsid w:val="6D90338E"/>
    <w:rsid w:val="6D925740"/>
    <w:rsid w:val="6D9D3EE4"/>
    <w:rsid w:val="6D9E7C69"/>
    <w:rsid w:val="6DA71839"/>
    <w:rsid w:val="6DA84071"/>
    <w:rsid w:val="6DB20233"/>
    <w:rsid w:val="6DB81D13"/>
    <w:rsid w:val="6DC54D30"/>
    <w:rsid w:val="6DC65806"/>
    <w:rsid w:val="6DDC652A"/>
    <w:rsid w:val="6DDF0294"/>
    <w:rsid w:val="6DE9618F"/>
    <w:rsid w:val="6DED02CD"/>
    <w:rsid w:val="6DF6740D"/>
    <w:rsid w:val="6DF92BCB"/>
    <w:rsid w:val="6DFB06CC"/>
    <w:rsid w:val="6E035B81"/>
    <w:rsid w:val="6E0F0D37"/>
    <w:rsid w:val="6E0F320E"/>
    <w:rsid w:val="6E114B44"/>
    <w:rsid w:val="6E131686"/>
    <w:rsid w:val="6E1B4CD0"/>
    <w:rsid w:val="6E1C2489"/>
    <w:rsid w:val="6E2A0DD8"/>
    <w:rsid w:val="6E376A3A"/>
    <w:rsid w:val="6E3E181B"/>
    <w:rsid w:val="6E3F1C0F"/>
    <w:rsid w:val="6E484191"/>
    <w:rsid w:val="6E4E0EC4"/>
    <w:rsid w:val="6E561494"/>
    <w:rsid w:val="6E567CD0"/>
    <w:rsid w:val="6E633CB5"/>
    <w:rsid w:val="6E7106EF"/>
    <w:rsid w:val="6E72570E"/>
    <w:rsid w:val="6E785A45"/>
    <w:rsid w:val="6E796FC0"/>
    <w:rsid w:val="6EAB29FB"/>
    <w:rsid w:val="6EB32B7F"/>
    <w:rsid w:val="6EB46F18"/>
    <w:rsid w:val="6EB63507"/>
    <w:rsid w:val="6EBD4DFF"/>
    <w:rsid w:val="6EC23093"/>
    <w:rsid w:val="6EC23231"/>
    <w:rsid w:val="6EC310A5"/>
    <w:rsid w:val="6EC43237"/>
    <w:rsid w:val="6EC73357"/>
    <w:rsid w:val="6ED163C0"/>
    <w:rsid w:val="6ED266F7"/>
    <w:rsid w:val="6EE939F2"/>
    <w:rsid w:val="6F021829"/>
    <w:rsid w:val="6F08724A"/>
    <w:rsid w:val="6F14289F"/>
    <w:rsid w:val="6F162C84"/>
    <w:rsid w:val="6F28474F"/>
    <w:rsid w:val="6F350882"/>
    <w:rsid w:val="6F3713E9"/>
    <w:rsid w:val="6F384951"/>
    <w:rsid w:val="6F4876AF"/>
    <w:rsid w:val="6F537FC0"/>
    <w:rsid w:val="6F607895"/>
    <w:rsid w:val="6F61040C"/>
    <w:rsid w:val="6F6776E1"/>
    <w:rsid w:val="6F6D6C06"/>
    <w:rsid w:val="6F702CF5"/>
    <w:rsid w:val="6F7A0C79"/>
    <w:rsid w:val="6F7E1B78"/>
    <w:rsid w:val="6F894E57"/>
    <w:rsid w:val="6F9C5D71"/>
    <w:rsid w:val="6FA3781E"/>
    <w:rsid w:val="6FAC61CF"/>
    <w:rsid w:val="6FAD017B"/>
    <w:rsid w:val="6FAF5C06"/>
    <w:rsid w:val="6FB32C37"/>
    <w:rsid w:val="6FB415FB"/>
    <w:rsid w:val="6FB80EE8"/>
    <w:rsid w:val="6FC0781E"/>
    <w:rsid w:val="6FC903ED"/>
    <w:rsid w:val="6FD36624"/>
    <w:rsid w:val="6FE53444"/>
    <w:rsid w:val="6FE76FE3"/>
    <w:rsid w:val="6FF1528E"/>
    <w:rsid w:val="6FF561D1"/>
    <w:rsid w:val="700C0460"/>
    <w:rsid w:val="701458A7"/>
    <w:rsid w:val="70152C7C"/>
    <w:rsid w:val="70170F2B"/>
    <w:rsid w:val="701830B7"/>
    <w:rsid w:val="701E2FAB"/>
    <w:rsid w:val="70206C25"/>
    <w:rsid w:val="702267D2"/>
    <w:rsid w:val="70370653"/>
    <w:rsid w:val="70385F59"/>
    <w:rsid w:val="70387A8F"/>
    <w:rsid w:val="704A6916"/>
    <w:rsid w:val="70680AC8"/>
    <w:rsid w:val="70684400"/>
    <w:rsid w:val="706D51B8"/>
    <w:rsid w:val="70712877"/>
    <w:rsid w:val="70723798"/>
    <w:rsid w:val="70767F2C"/>
    <w:rsid w:val="707E62BB"/>
    <w:rsid w:val="70910C43"/>
    <w:rsid w:val="709E4E34"/>
    <w:rsid w:val="709E640C"/>
    <w:rsid w:val="70A156F4"/>
    <w:rsid w:val="70AC0E63"/>
    <w:rsid w:val="70AD5CCA"/>
    <w:rsid w:val="70AF55CD"/>
    <w:rsid w:val="70B56633"/>
    <w:rsid w:val="70BB0D3E"/>
    <w:rsid w:val="70C84253"/>
    <w:rsid w:val="70CA126A"/>
    <w:rsid w:val="70CB6779"/>
    <w:rsid w:val="70CF3906"/>
    <w:rsid w:val="70D91094"/>
    <w:rsid w:val="70DB76EF"/>
    <w:rsid w:val="70E47264"/>
    <w:rsid w:val="70F00944"/>
    <w:rsid w:val="70F04773"/>
    <w:rsid w:val="710524E2"/>
    <w:rsid w:val="710A1B87"/>
    <w:rsid w:val="710B03C6"/>
    <w:rsid w:val="711604AB"/>
    <w:rsid w:val="712D2ADB"/>
    <w:rsid w:val="712D4159"/>
    <w:rsid w:val="712E5396"/>
    <w:rsid w:val="71346CB6"/>
    <w:rsid w:val="7136388E"/>
    <w:rsid w:val="714200B6"/>
    <w:rsid w:val="71431855"/>
    <w:rsid w:val="7143374A"/>
    <w:rsid w:val="7148649A"/>
    <w:rsid w:val="715117C4"/>
    <w:rsid w:val="71536701"/>
    <w:rsid w:val="71554E10"/>
    <w:rsid w:val="715D365A"/>
    <w:rsid w:val="715D7038"/>
    <w:rsid w:val="71636BC2"/>
    <w:rsid w:val="71676D13"/>
    <w:rsid w:val="716A160C"/>
    <w:rsid w:val="716B5F96"/>
    <w:rsid w:val="716C65C5"/>
    <w:rsid w:val="716D67F7"/>
    <w:rsid w:val="71747EDF"/>
    <w:rsid w:val="7183292B"/>
    <w:rsid w:val="71890883"/>
    <w:rsid w:val="718B3A9F"/>
    <w:rsid w:val="71936186"/>
    <w:rsid w:val="71A535F8"/>
    <w:rsid w:val="71AE2BD5"/>
    <w:rsid w:val="71AF2F66"/>
    <w:rsid w:val="71B31BCF"/>
    <w:rsid w:val="71C061A0"/>
    <w:rsid w:val="71C2301C"/>
    <w:rsid w:val="71C45E90"/>
    <w:rsid w:val="71C96C07"/>
    <w:rsid w:val="71CD28DD"/>
    <w:rsid w:val="71D00811"/>
    <w:rsid w:val="71D774C5"/>
    <w:rsid w:val="71D8692F"/>
    <w:rsid w:val="71DA7C5F"/>
    <w:rsid w:val="71DE4C74"/>
    <w:rsid w:val="71E346E4"/>
    <w:rsid w:val="71E56A62"/>
    <w:rsid w:val="71E767FC"/>
    <w:rsid w:val="71EF5D41"/>
    <w:rsid w:val="71FC70DF"/>
    <w:rsid w:val="72056436"/>
    <w:rsid w:val="720979A0"/>
    <w:rsid w:val="720F633E"/>
    <w:rsid w:val="72130B93"/>
    <w:rsid w:val="72193FD3"/>
    <w:rsid w:val="721C688B"/>
    <w:rsid w:val="722F77BC"/>
    <w:rsid w:val="723749D7"/>
    <w:rsid w:val="72460A9E"/>
    <w:rsid w:val="724E54F1"/>
    <w:rsid w:val="7254202A"/>
    <w:rsid w:val="72575910"/>
    <w:rsid w:val="727334E4"/>
    <w:rsid w:val="72756082"/>
    <w:rsid w:val="72772DDB"/>
    <w:rsid w:val="727B2E39"/>
    <w:rsid w:val="72827328"/>
    <w:rsid w:val="728B2CA4"/>
    <w:rsid w:val="728B509F"/>
    <w:rsid w:val="728F0A31"/>
    <w:rsid w:val="72950F4E"/>
    <w:rsid w:val="729A297B"/>
    <w:rsid w:val="72A310CE"/>
    <w:rsid w:val="72B23B41"/>
    <w:rsid w:val="72B751B8"/>
    <w:rsid w:val="72CE3184"/>
    <w:rsid w:val="72CE7D06"/>
    <w:rsid w:val="72D456A5"/>
    <w:rsid w:val="72E70D52"/>
    <w:rsid w:val="72EA6B66"/>
    <w:rsid w:val="72F02AF2"/>
    <w:rsid w:val="72FB32E0"/>
    <w:rsid w:val="72FB39EE"/>
    <w:rsid w:val="7302733B"/>
    <w:rsid w:val="73036270"/>
    <w:rsid w:val="731649D2"/>
    <w:rsid w:val="731C28E7"/>
    <w:rsid w:val="731D3D41"/>
    <w:rsid w:val="7326097A"/>
    <w:rsid w:val="732A4A9B"/>
    <w:rsid w:val="733202B6"/>
    <w:rsid w:val="73343997"/>
    <w:rsid w:val="73370B0A"/>
    <w:rsid w:val="733C723A"/>
    <w:rsid w:val="733C7C6A"/>
    <w:rsid w:val="73510529"/>
    <w:rsid w:val="73574996"/>
    <w:rsid w:val="73582150"/>
    <w:rsid w:val="735C705A"/>
    <w:rsid w:val="736411CC"/>
    <w:rsid w:val="73690216"/>
    <w:rsid w:val="736A02D8"/>
    <w:rsid w:val="73724F6D"/>
    <w:rsid w:val="73893467"/>
    <w:rsid w:val="738A36E1"/>
    <w:rsid w:val="73912A81"/>
    <w:rsid w:val="73970334"/>
    <w:rsid w:val="739B1EFF"/>
    <w:rsid w:val="73A16D22"/>
    <w:rsid w:val="73B1400F"/>
    <w:rsid w:val="73B7366A"/>
    <w:rsid w:val="73BA064C"/>
    <w:rsid w:val="73BB3C6E"/>
    <w:rsid w:val="73CE1997"/>
    <w:rsid w:val="73D260A7"/>
    <w:rsid w:val="73DE1AB7"/>
    <w:rsid w:val="73EC7C9D"/>
    <w:rsid w:val="73EE6F0E"/>
    <w:rsid w:val="73F5257C"/>
    <w:rsid w:val="73FF2CB2"/>
    <w:rsid w:val="7407051F"/>
    <w:rsid w:val="741076D1"/>
    <w:rsid w:val="74115578"/>
    <w:rsid w:val="74141C1A"/>
    <w:rsid w:val="74215D04"/>
    <w:rsid w:val="74257C35"/>
    <w:rsid w:val="742A0965"/>
    <w:rsid w:val="742D019C"/>
    <w:rsid w:val="742D6DB6"/>
    <w:rsid w:val="742E74D7"/>
    <w:rsid w:val="744642D9"/>
    <w:rsid w:val="74522D94"/>
    <w:rsid w:val="746B086B"/>
    <w:rsid w:val="746C430C"/>
    <w:rsid w:val="74775754"/>
    <w:rsid w:val="749D5800"/>
    <w:rsid w:val="74A73312"/>
    <w:rsid w:val="74B06962"/>
    <w:rsid w:val="74B32215"/>
    <w:rsid w:val="74BC7516"/>
    <w:rsid w:val="74C0607C"/>
    <w:rsid w:val="74C22AFE"/>
    <w:rsid w:val="74C46840"/>
    <w:rsid w:val="74D575AA"/>
    <w:rsid w:val="74D71DDE"/>
    <w:rsid w:val="74DA7956"/>
    <w:rsid w:val="74E11F86"/>
    <w:rsid w:val="74FB509B"/>
    <w:rsid w:val="74FB6035"/>
    <w:rsid w:val="750934A8"/>
    <w:rsid w:val="750A15E4"/>
    <w:rsid w:val="750C76FA"/>
    <w:rsid w:val="752B3381"/>
    <w:rsid w:val="75325694"/>
    <w:rsid w:val="75354510"/>
    <w:rsid w:val="75376E15"/>
    <w:rsid w:val="75457EFF"/>
    <w:rsid w:val="754D7D87"/>
    <w:rsid w:val="7554481F"/>
    <w:rsid w:val="75594581"/>
    <w:rsid w:val="755A5494"/>
    <w:rsid w:val="75625A16"/>
    <w:rsid w:val="7564200E"/>
    <w:rsid w:val="75663FD1"/>
    <w:rsid w:val="757540E3"/>
    <w:rsid w:val="758E5E9D"/>
    <w:rsid w:val="75912385"/>
    <w:rsid w:val="759739B3"/>
    <w:rsid w:val="759B02AD"/>
    <w:rsid w:val="759B0C43"/>
    <w:rsid w:val="759B3A01"/>
    <w:rsid w:val="759B5CAF"/>
    <w:rsid w:val="759D4D4C"/>
    <w:rsid w:val="75A53BC6"/>
    <w:rsid w:val="75B3155F"/>
    <w:rsid w:val="75BB5F12"/>
    <w:rsid w:val="75C123A7"/>
    <w:rsid w:val="75CC74C8"/>
    <w:rsid w:val="75CD2584"/>
    <w:rsid w:val="75D357A7"/>
    <w:rsid w:val="75DB08A6"/>
    <w:rsid w:val="75E2330A"/>
    <w:rsid w:val="75E7499A"/>
    <w:rsid w:val="75F75D00"/>
    <w:rsid w:val="75F8074C"/>
    <w:rsid w:val="7600209C"/>
    <w:rsid w:val="760049B0"/>
    <w:rsid w:val="760200DC"/>
    <w:rsid w:val="760218FE"/>
    <w:rsid w:val="76070A73"/>
    <w:rsid w:val="761014A5"/>
    <w:rsid w:val="76213B4B"/>
    <w:rsid w:val="76240922"/>
    <w:rsid w:val="76250B12"/>
    <w:rsid w:val="762D70E7"/>
    <w:rsid w:val="7630359D"/>
    <w:rsid w:val="763B42FB"/>
    <w:rsid w:val="763D4BE9"/>
    <w:rsid w:val="763F1F92"/>
    <w:rsid w:val="76424474"/>
    <w:rsid w:val="76437632"/>
    <w:rsid w:val="76451CD6"/>
    <w:rsid w:val="76452780"/>
    <w:rsid w:val="764F7670"/>
    <w:rsid w:val="76526C65"/>
    <w:rsid w:val="765468E9"/>
    <w:rsid w:val="76587361"/>
    <w:rsid w:val="765F0FBA"/>
    <w:rsid w:val="766314AA"/>
    <w:rsid w:val="76690632"/>
    <w:rsid w:val="767469E2"/>
    <w:rsid w:val="76775F0B"/>
    <w:rsid w:val="767E2DAC"/>
    <w:rsid w:val="76894819"/>
    <w:rsid w:val="76894B0E"/>
    <w:rsid w:val="768D57E3"/>
    <w:rsid w:val="76932317"/>
    <w:rsid w:val="769C1025"/>
    <w:rsid w:val="76A53B61"/>
    <w:rsid w:val="76A56898"/>
    <w:rsid w:val="76B153BA"/>
    <w:rsid w:val="76BE7B18"/>
    <w:rsid w:val="76C72CA0"/>
    <w:rsid w:val="76ED0EF4"/>
    <w:rsid w:val="76F2295F"/>
    <w:rsid w:val="76F50A9F"/>
    <w:rsid w:val="76FD2D1D"/>
    <w:rsid w:val="77187F65"/>
    <w:rsid w:val="77284F7D"/>
    <w:rsid w:val="7729766A"/>
    <w:rsid w:val="772D35A6"/>
    <w:rsid w:val="772D3786"/>
    <w:rsid w:val="773A62B8"/>
    <w:rsid w:val="77422DC5"/>
    <w:rsid w:val="7743723B"/>
    <w:rsid w:val="77490C6C"/>
    <w:rsid w:val="774B3934"/>
    <w:rsid w:val="774D47BD"/>
    <w:rsid w:val="77551F00"/>
    <w:rsid w:val="77650E66"/>
    <w:rsid w:val="776A53C0"/>
    <w:rsid w:val="776C62EB"/>
    <w:rsid w:val="777B5F51"/>
    <w:rsid w:val="777D53E6"/>
    <w:rsid w:val="777E1FE2"/>
    <w:rsid w:val="778067C2"/>
    <w:rsid w:val="77847A56"/>
    <w:rsid w:val="778F0D7D"/>
    <w:rsid w:val="778F49BD"/>
    <w:rsid w:val="77966F4C"/>
    <w:rsid w:val="779D7890"/>
    <w:rsid w:val="77A31525"/>
    <w:rsid w:val="77A75021"/>
    <w:rsid w:val="77B4796D"/>
    <w:rsid w:val="77B8689C"/>
    <w:rsid w:val="77BD5A24"/>
    <w:rsid w:val="77C2510C"/>
    <w:rsid w:val="77C833A2"/>
    <w:rsid w:val="77D21E05"/>
    <w:rsid w:val="77DF0133"/>
    <w:rsid w:val="77E568E3"/>
    <w:rsid w:val="77EE19D2"/>
    <w:rsid w:val="77F62779"/>
    <w:rsid w:val="78036043"/>
    <w:rsid w:val="7813374F"/>
    <w:rsid w:val="78143384"/>
    <w:rsid w:val="781838FF"/>
    <w:rsid w:val="781B3886"/>
    <w:rsid w:val="78306028"/>
    <w:rsid w:val="78316382"/>
    <w:rsid w:val="78355626"/>
    <w:rsid w:val="78375EBD"/>
    <w:rsid w:val="784151EC"/>
    <w:rsid w:val="784563AF"/>
    <w:rsid w:val="7849196F"/>
    <w:rsid w:val="78591903"/>
    <w:rsid w:val="787659AD"/>
    <w:rsid w:val="7888219B"/>
    <w:rsid w:val="78887070"/>
    <w:rsid w:val="788908C8"/>
    <w:rsid w:val="78993306"/>
    <w:rsid w:val="78A561F3"/>
    <w:rsid w:val="78B0117B"/>
    <w:rsid w:val="78B91C9F"/>
    <w:rsid w:val="78BB7098"/>
    <w:rsid w:val="78BC539D"/>
    <w:rsid w:val="78BE197B"/>
    <w:rsid w:val="78C134B0"/>
    <w:rsid w:val="78C64CC0"/>
    <w:rsid w:val="78CD3535"/>
    <w:rsid w:val="78D97F0E"/>
    <w:rsid w:val="78DA009A"/>
    <w:rsid w:val="78DC2FA9"/>
    <w:rsid w:val="78DD4939"/>
    <w:rsid w:val="78E062D1"/>
    <w:rsid w:val="78F40C87"/>
    <w:rsid w:val="78F66B5A"/>
    <w:rsid w:val="78FC7FC2"/>
    <w:rsid w:val="79042DE3"/>
    <w:rsid w:val="790D0BF3"/>
    <w:rsid w:val="790D4F70"/>
    <w:rsid w:val="791474A8"/>
    <w:rsid w:val="79176206"/>
    <w:rsid w:val="79213934"/>
    <w:rsid w:val="79221399"/>
    <w:rsid w:val="79270722"/>
    <w:rsid w:val="7940572D"/>
    <w:rsid w:val="79461391"/>
    <w:rsid w:val="79474814"/>
    <w:rsid w:val="794B4D74"/>
    <w:rsid w:val="79501475"/>
    <w:rsid w:val="79524043"/>
    <w:rsid w:val="795A5499"/>
    <w:rsid w:val="796E35F2"/>
    <w:rsid w:val="7970388C"/>
    <w:rsid w:val="7971290E"/>
    <w:rsid w:val="797951A9"/>
    <w:rsid w:val="7990174F"/>
    <w:rsid w:val="79A15149"/>
    <w:rsid w:val="79A37CCA"/>
    <w:rsid w:val="79A71C2E"/>
    <w:rsid w:val="79A74BCA"/>
    <w:rsid w:val="79AE39E9"/>
    <w:rsid w:val="79BD3E41"/>
    <w:rsid w:val="79BF2784"/>
    <w:rsid w:val="79C0597A"/>
    <w:rsid w:val="79C24EDF"/>
    <w:rsid w:val="79C95AED"/>
    <w:rsid w:val="79DF1EBA"/>
    <w:rsid w:val="79DF3F74"/>
    <w:rsid w:val="79E12ED9"/>
    <w:rsid w:val="79E352FF"/>
    <w:rsid w:val="79E9023D"/>
    <w:rsid w:val="79ED6701"/>
    <w:rsid w:val="79EE7E8E"/>
    <w:rsid w:val="79EF0C9D"/>
    <w:rsid w:val="79F30A3A"/>
    <w:rsid w:val="79FB2D0B"/>
    <w:rsid w:val="7A052E17"/>
    <w:rsid w:val="7A097B67"/>
    <w:rsid w:val="7A0F1525"/>
    <w:rsid w:val="7A157806"/>
    <w:rsid w:val="7A262C2D"/>
    <w:rsid w:val="7A291938"/>
    <w:rsid w:val="7A3D7CC0"/>
    <w:rsid w:val="7A4006D3"/>
    <w:rsid w:val="7A4D07BA"/>
    <w:rsid w:val="7A5863D3"/>
    <w:rsid w:val="7A5C5FAF"/>
    <w:rsid w:val="7A634604"/>
    <w:rsid w:val="7A64499E"/>
    <w:rsid w:val="7A6656B6"/>
    <w:rsid w:val="7A723F72"/>
    <w:rsid w:val="7A743D9C"/>
    <w:rsid w:val="7A7D4128"/>
    <w:rsid w:val="7A9123B7"/>
    <w:rsid w:val="7A9711EE"/>
    <w:rsid w:val="7A9A1B33"/>
    <w:rsid w:val="7A9C3E5C"/>
    <w:rsid w:val="7A9D1CEF"/>
    <w:rsid w:val="7A9F5215"/>
    <w:rsid w:val="7AA16CBD"/>
    <w:rsid w:val="7AA5277A"/>
    <w:rsid w:val="7AA952CF"/>
    <w:rsid w:val="7AAE678B"/>
    <w:rsid w:val="7AB07C78"/>
    <w:rsid w:val="7AB514B2"/>
    <w:rsid w:val="7ACA29DF"/>
    <w:rsid w:val="7ACD2D7F"/>
    <w:rsid w:val="7AD27B42"/>
    <w:rsid w:val="7AD53EC1"/>
    <w:rsid w:val="7AD84E14"/>
    <w:rsid w:val="7ADB474B"/>
    <w:rsid w:val="7ADB7F1A"/>
    <w:rsid w:val="7AF9607E"/>
    <w:rsid w:val="7AFF6F46"/>
    <w:rsid w:val="7B18546A"/>
    <w:rsid w:val="7B1B467F"/>
    <w:rsid w:val="7B1F59AA"/>
    <w:rsid w:val="7B214978"/>
    <w:rsid w:val="7B391012"/>
    <w:rsid w:val="7B4A5781"/>
    <w:rsid w:val="7B4E09BF"/>
    <w:rsid w:val="7B603C7C"/>
    <w:rsid w:val="7B65590F"/>
    <w:rsid w:val="7B6E2AB1"/>
    <w:rsid w:val="7B771CED"/>
    <w:rsid w:val="7B7C1A5E"/>
    <w:rsid w:val="7B841287"/>
    <w:rsid w:val="7B9422CC"/>
    <w:rsid w:val="7BA22D26"/>
    <w:rsid w:val="7BA521BC"/>
    <w:rsid w:val="7BA63294"/>
    <w:rsid w:val="7BAA2B37"/>
    <w:rsid w:val="7BAB7079"/>
    <w:rsid w:val="7BB145C1"/>
    <w:rsid w:val="7BB2241E"/>
    <w:rsid w:val="7BC17EBE"/>
    <w:rsid w:val="7BC43666"/>
    <w:rsid w:val="7BC8293C"/>
    <w:rsid w:val="7BC87053"/>
    <w:rsid w:val="7BDC009C"/>
    <w:rsid w:val="7BDE0174"/>
    <w:rsid w:val="7BDF18E6"/>
    <w:rsid w:val="7BE131F6"/>
    <w:rsid w:val="7BE7473C"/>
    <w:rsid w:val="7BF11348"/>
    <w:rsid w:val="7BF542FE"/>
    <w:rsid w:val="7BFF0642"/>
    <w:rsid w:val="7C056E44"/>
    <w:rsid w:val="7C206952"/>
    <w:rsid w:val="7C2D1C60"/>
    <w:rsid w:val="7C3832F5"/>
    <w:rsid w:val="7C42281E"/>
    <w:rsid w:val="7C610C91"/>
    <w:rsid w:val="7C613AEC"/>
    <w:rsid w:val="7C6E7E2C"/>
    <w:rsid w:val="7C734075"/>
    <w:rsid w:val="7C773CA6"/>
    <w:rsid w:val="7C815D2A"/>
    <w:rsid w:val="7C823A4D"/>
    <w:rsid w:val="7C831756"/>
    <w:rsid w:val="7C8A5CD4"/>
    <w:rsid w:val="7C8C4CAB"/>
    <w:rsid w:val="7C982736"/>
    <w:rsid w:val="7C9E5A24"/>
    <w:rsid w:val="7CA3583F"/>
    <w:rsid w:val="7CA67728"/>
    <w:rsid w:val="7CA71B50"/>
    <w:rsid w:val="7CAE1511"/>
    <w:rsid w:val="7CB62523"/>
    <w:rsid w:val="7CCA5583"/>
    <w:rsid w:val="7CD72F9B"/>
    <w:rsid w:val="7CE146B6"/>
    <w:rsid w:val="7CE65C11"/>
    <w:rsid w:val="7CE666B7"/>
    <w:rsid w:val="7CE70935"/>
    <w:rsid w:val="7CF84A31"/>
    <w:rsid w:val="7CFC44C2"/>
    <w:rsid w:val="7D013B39"/>
    <w:rsid w:val="7D060FAD"/>
    <w:rsid w:val="7D073E45"/>
    <w:rsid w:val="7D0826CA"/>
    <w:rsid w:val="7D0D06E5"/>
    <w:rsid w:val="7D130509"/>
    <w:rsid w:val="7D1946C0"/>
    <w:rsid w:val="7D1D7FE9"/>
    <w:rsid w:val="7D26448A"/>
    <w:rsid w:val="7D292A41"/>
    <w:rsid w:val="7D2A5CCB"/>
    <w:rsid w:val="7D401CAA"/>
    <w:rsid w:val="7D4E195B"/>
    <w:rsid w:val="7D515EFA"/>
    <w:rsid w:val="7D64087E"/>
    <w:rsid w:val="7D69117D"/>
    <w:rsid w:val="7D696CB2"/>
    <w:rsid w:val="7D7A555A"/>
    <w:rsid w:val="7D7F5298"/>
    <w:rsid w:val="7D8362BA"/>
    <w:rsid w:val="7D8B7B11"/>
    <w:rsid w:val="7DA843EE"/>
    <w:rsid w:val="7DAB10BD"/>
    <w:rsid w:val="7DBF2E7A"/>
    <w:rsid w:val="7DC63BFE"/>
    <w:rsid w:val="7DCC7A63"/>
    <w:rsid w:val="7DD7657D"/>
    <w:rsid w:val="7DDA6C39"/>
    <w:rsid w:val="7DE15552"/>
    <w:rsid w:val="7DE16744"/>
    <w:rsid w:val="7DEB2C44"/>
    <w:rsid w:val="7DF464FC"/>
    <w:rsid w:val="7DFE63E1"/>
    <w:rsid w:val="7E006A11"/>
    <w:rsid w:val="7E0276F9"/>
    <w:rsid w:val="7E1B1419"/>
    <w:rsid w:val="7E1C55F3"/>
    <w:rsid w:val="7E202566"/>
    <w:rsid w:val="7E222965"/>
    <w:rsid w:val="7E2E7D3F"/>
    <w:rsid w:val="7E330B2F"/>
    <w:rsid w:val="7E347694"/>
    <w:rsid w:val="7E3B5911"/>
    <w:rsid w:val="7E456C28"/>
    <w:rsid w:val="7E495416"/>
    <w:rsid w:val="7E497873"/>
    <w:rsid w:val="7E4E716D"/>
    <w:rsid w:val="7E570488"/>
    <w:rsid w:val="7E573082"/>
    <w:rsid w:val="7E595C0C"/>
    <w:rsid w:val="7E712F31"/>
    <w:rsid w:val="7E750E81"/>
    <w:rsid w:val="7E761EFC"/>
    <w:rsid w:val="7E9044A6"/>
    <w:rsid w:val="7E905927"/>
    <w:rsid w:val="7E922E52"/>
    <w:rsid w:val="7EA87297"/>
    <w:rsid w:val="7EAE1E9B"/>
    <w:rsid w:val="7EB56059"/>
    <w:rsid w:val="7EB73383"/>
    <w:rsid w:val="7EBD506F"/>
    <w:rsid w:val="7EC22792"/>
    <w:rsid w:val="7EC23404"/>
    <w:rsid w:val="7EC57DB4"/>
    <w:rsid w:val="7ED55364"/>
    <w:rsid w:val="7ED61FF8"/>
    <w:rsid w:val="7ED766B7"/>
    <w:rsid w:val="7EDE52DA"/>
    <w:rsid w:val="7EEB1AD7"/>
    <w:rsid w:val="7EEC4A0C"/>
    <w:rsid w:val="7EEF5C7E"/>
    <w:rsid w:val="7EF624E9"/>
    <w:rsid w:val="7EFA4392"/>
    <w:rsid w:val="7F057503"/>
    <w:rsid w:val="7F0715DA"/>
    <w:rsid w:val="7F085E6E"/>
    <w:rsid w:val="7F090A0E"/>
    <w:rsid w:val="7F0C0396"/>
    <w:rsid w:val="7F0F0634"/>
    <w:rsid w:val="7F111CB1"/>
    <w:rsid w:val="7F160CCE"/>
    <w:rsid w:val="7F18438A"/>
    <w:rsid w:val="7F2618F3"/>
    <w:rsid w:val="7F314300"/>
    <w:rsid w:val="7F35713F"/>
    <w:rsid w:val="7F3A44DE"/>
    <w:rsid w:val="7F3A7611"/>
    <w:rsid w:val="7F3B01C9"/>
    <w:rsid w:val="7F4A17F6"/>
    <w:rsid w:val="7F536DE1"/>
    <w:rsid w:val="7F57295E"/>
    <w:rsid w:val="7F6339F7"/>
    <w:rsid w:val="7F8660CD"/>
    <w:rsid w:val="7F8A2E2C"/>
    <w:rsid w:val="7FA069EC"/>
    <w:rsid w:val="7FD277AE"/>
    <w:rsid w:val="7FDA2CD0"/>
    <w:rsid w:val="7FDB769F"/>
    <w:rsid w:val="7FEC7AE0"/>
    <w:rsid w:val="7FF10D9A"/>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0"/>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4"/>
    <w:qFormat/>
    <w:uiPriority w:val="0"/>
    <w:pPr>
      <w:keepLines/>
      <w:widowControl/>
      <w:spacing w:before="180" w:after="180"/>
      <w:ind w:left="1134" w:hanging="1134"/>
      <w:jc w:val="left"/>
      <w:outlineLvl w:val="1"/>
    </w:pPr>
    <w:rPr>
      <w:rFonts w:ascii="Arial" w:hAnsi="Arial"/>
      <w:b w:val="0"/>
      <w:bCs w:val="0"/>
      <w:kern w:val="0"/>
      <w:szCs w:val="20"/>
      <w:lang w:eastAsia="en-US"/>
    </w:rPr>
  </w:style>
  <w:style w:type="paragraph" w:styleId="4">
    <w:name w:val="heading 3"/>
    <w:basedOn w:val="3"/>
    <w:next w:val="1"/>
    <w:link w:val="86"/>
    <w:qFormat/>
    <w:uiPriority w:val="0"/>
    <w:pPr>
      <w:spacing w:before="120"/>
      <w:outlineLvl w:val="2"/>
    </w:pPr>
    <w:rPr>
      <w:sz w:val="28"/>
    </w:rPr>
  </w:style>
  <w:style w:type="paragraph" w:styleId="5">
    <w:name w:val="heading 4"/>
    <w:basedOn w:val="4"/>
    <w:next w:val="1"/>
    <w:link w:val="75"/>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5"/>
    <w:qFormat/>
    <w:uiPriority w:val="0"/>
    <w:pPr>
      <w:tabs>
        <w:tab w:val="left" w:pos="2144"/>
        <w:tab w:val="clear" w:pos="2000"/>
      </w:tabs>
      <w:ind w:left="2144" w:hanging="1008"/>
      <w:outlineLvl w:val="4"/>
    </w:pPr>
    <w:rPr>
      <w:sz w:val="22"/>
    </w:rPr>
  </w:style>
  <w:style w:type="paragraph" w:styleId="7">
    <w:name w:val="heading 6"/>
    <w:basedOn w:val="1"/>
    <w:next w:val="1"/>
    <w:link w:val="64"/>
    <w:qFormat/>
    <w:uiPriority w:val="0"/>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8">
    <w:name w:val="heading 7"/>
    <w:basedOn w:val="1"/>
    <w:next w:val="1"/>
    <w:link w:val="79"/>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9">
    <w:name w:val="heading 8"/>
    <w:basedOn w:val="2"/>
    <w:next w:val="1"/>
    <w:link w:val="66"/>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0">
    <w:name w:val="heading 9"/>
    <w:basedOn w:val="9"/>
    <w:next w:val="1"/>
    <w:link w:val="68"/>
    <w:qFormat/>
    <w:uiPriority w:val="0"/>
    <w:pPr>
      <w:tabs>
        <w:tab w:val="left" w:pos="2720"/>
        <w:tab w:val="clear" w:pos="2576"/>
      </w:tabs>
      <w:ind w:left="2720" w:hanging="1584"/>
      <w:outlineLvl w:val="8"/>
    </w:pPr>
  </w:style>
  <w:style w:type="character" w:default="1" w:styleId="23">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70"/>
    <w:qFormat/>
    <w:uiPriority w:val="0"/>
    <w:pPr>
      <w:widowControl/>
      <w:spacing w:before="152" w:after="160"/>
    </w:pPr>
    <w:rPr>
      <w:rFonts w:ascii="Arial" w:hAnsi="Arial" w:eastAsia="黑体"/>
      <w:kern w:val="0"/>
      <w:sz w:val="20"/>
      <w:szCs w:val="20"/>
    </w:rPr>
  </w:style>
  <w:style w:type="paragraph" w:styleId="12">
    <w:name w:val="Document Map"/>
    <w:basedOn w:val="1"/>
    <w:link w:val="78"/>
    <w:unhideWhenUsed/>
    <w:qFormat/>
    <w:uiPriority w:val="99"/>
    <w:rPr>
      <w:rFonts w:ascii="宋体"/>
      <w:kern w:val="0"/>
      <w:sz w:val="18"/>
      <w:szCs w:val="18"/>
    </w:rPr>
  </w:style>
  <w:style w:type="paragraph" w:styleId="13">
    <w:name w:val="annotation text"/>
    <w:basedOn w:val="1"/>
    <w:link w:val="87"/>
    <w:unhideWhenUsed/>
    <w:qFormat/>
    <w:uiPriority w:val="99"/>
    <w:rPr>
      <w:sz w:val="20"/>
      <w:szCs w:val="20"/>
    </w:rPr>
  </w:style>
  <w:style w:type="paragraph" w:styleId="14">
    <w:name w:val="Body Text"/>
    <w:basedOn w:val="1"/>
    <w:link w:val="73"/>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5">
    <w:name w:val="Balloon Text"/>
    <w:basedOn w:val="1"/>
    <w:link w:val="30"/>
    <w:unhideWhenUsed/>
    <w:qFormat/>
    <w:uiPriority w:val="99"/>
    <w:rPr>
      <w:sz w:val="18"/>
      <w:szCs w:val="18"/>
    </w:rPr>
  </w:style>
  <w:style w:type="paragraph" w:styleId="16">
    <w:name w:val="footer"/>
    <w:basedOn w:val="17"/>
    <w:link w:val="81"/>
    <w:unhideWhenUsed/>
    <w:qFormat/>
    <w:uiPriority w:val="99"/>
    <w:pPr>
      <w:tabs>
        <w:tab w:val="center" w:pos="4153"/>
        <w:tab w:val="right" w:pos="8306"/>
      </w:tabs>
      <w:jc w:val="left"/>
    </w:pPr>
  </w:style>
  <w:style w:type="paragraph" w:styleId="17">
    <w:name w:val="header"/>
    <w:basedOn w:val="1"/>
    <w:link w:val="77"/>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8">
    <w:name w:val="List"/>
    <w:basedOn w:val="1"/>
    <w:unhideWhenUsed/>
    <w:qFormat/>
    <w:uiPriority w:val="99"/>
    <w:pPr>
      <w:ind w:left="200" w:hanging="200" w:hangingChars="200"/>
      <w:contextualSpacing/>
    </w:pPr>
  </w:style>
  <w:style w:type="paragraph" w:styleId="19">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0">
    <w:name w:val="annotation subject"/>
    <w:basedOn w:val="13"/>
    <w:next w:val="13"/>
    <w:link w:val="82"/>
    <w:unhideWhenUsed/>
    <w:qFormat/>
    <w:uiPriority w:val="99"/>
    <w:rPr>
      <w:b/>
      <w:bCs/>
    </w:rPr>
  </w:style>
  <w:style w:type="table" w:styleId="22">
    <w:name w:val="Table Grid"/>
    <w:basedOn w:val="2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4">
    <w:name w:val="Strong"/>
    <w:qFormat/>
    <w:uiPriority w:val="0"/>
    <w:rPr>
      <w:rFonts w:ascii="Calibri" w:hAnsi="Calibri" w:eastAsia="宋体" w:cs="Calibri"/>
      <w:bCs/>
      <w:sz w:val="24"/>
    </w:rPr>
  </w:style>
  <w:style w:type="character" w:styleId="25">
    <w:name w:val="page number"/>
    <w:basedOn w:val="23"/>
    <w:semiHidden/>
    <w:qFormat/>
    <w:uiPriority w:val="0"/>
  </w:style>
  <w:style w:type="character" w:styleId="26">
    <w:name w:val="Emphasis"/>
    <w:qFormat/>
    <w:uiPriority w:val="20"/>
    <w:rPr>
      <w:color w:val="CC0000"/>
    </w:rPr>
  </w:style>
  <w:style w:type="character" w:styleId="27">
    <w:name w:val="Hyperlink"/>
    <w:basedOn w:val="23"/>
    <w:qFormat/>
    <w:uiPriority w:val="0"/>
    <w:rPr>
      <w:color w:val="0000FF"/>
      <w:u w:val="single"/>
    </w:rPr>
  </w:style>
  <w:style w:type="character" w:styleId="28">
    <w:name w:val="annotation reference"/>
    <w:unhideWhenUsed/>
    <w:qFormat/>
    <w:uiPriority w:val="99"/>
    <w:rPr>
      <w:sz w:val="16"/>
      <w:szCs w:val="16"/>
    </w:rPr>
  </w:style>
  <w:style w:type="character" w:styleId="29">
    <w:name w:val="HTML Cite"/>
    <w:unhideWhenUsed/>
    <w:qFormat/>
    <w:uiPriority w:val="99"/>
    <w:rPr>
      <w:color w:val="008000"/>
    </w:rPr>
  </w:style>
  <w:style w:type="character" w:customStyle="1" w:styleId="30">
    <w:name w:val="批注框文本 Char"/>
    <w:link w:val="15"/>
    <w:semiHidden/>
    <w:qFormat/>
    <w:uiPriority w:val="99"/>
    <w:rPr>
      <w:kern w:val="2"/>
      <w:sz w:val="18"/>
      <w:szCs w:val="18"/>
    </w:rPr>
  </w:style>
  <w:style w:type="paragraph" w:customStyle="1" w:styleId="31">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2">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3">
    <w:name w:val="List Paragraph"/>
    <w:basedOn w:val="1"/>
    <w:qFormat/>
    <w:uiPriority w:val="34"/>
    <w:pPr>
      <w:ind w:firstLine="420" w:firstLineChars="200"/>
    </w:pPr>
  </w:style>
  <w:style w:type="paragraph" w:customStyle="1" w:styleId="34">
    <w:name w:val="TAH"/>
    <w:basedOn w:val="35"/>
    <w:link w:val="59"/>
    <w:qFormat/>
    <w:uiPriority w:val="99"/>
    <w:rPr>
      <w:b/>
    </w:rPr>
  </w:style>
  <w:style w:type="paragraph" w:customStyle="1" w:styleId="35">
    <w:name w:val="TAC"/>
    <w:basedOn w:val="36"/>
    <w:link w:val="74"/>
    <w:qFormat/>
    <w:uiPriority w:val="0"/>
    <w:pPr>
      <w:jc w:val="center"/>
    </w:pPr>
    <w:rPr>
      <w:rFonts w:eastAsia="Times New Roman"/>
      <w:lang w:eastAsia="ja-JP"/>
    </w:rPr>
  </w:style>
  <w:style w:type="paragraph" w:customStyle="1" w:styleId="36">
    <w:name w:val="TAL"/>
    <w:basedOn w:val="1"/>
    <w:link w:val="63"/>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7">
    <w:name w:val="正文1"/>
    <w:basedOn w:val="1"/>
    <w:link w:val="60"/>
    <w:qFormat/>
    <w:uiPriority w:val="0"/>
    <w:pPr>
      <w:adjustRightInd w:val="0"/>
      <w:spacing w:after="180"/>
    </w:pPr>
    <w:rPr>
      <w:kern w:val="0"/>
      <w:sz w:val="20"/>
      <w:szCs w:val="20"/>
    </w:rPr>
  </w:style>
  <w:style w:type="paragraph" w:customStyle="1" w:styleId="38">
    <w:name w:val="char char char"/>
    <w:basedOn w:val="37"/>
    <w:link w:val="76"/>
    <w:qFormat/>
    <w:uiPriority w:val="0"/>
    <w:pPr>
      <w:keepNext/>
      <w:keepLines/>
      <w:widowControl/>
      <w:spacing w:before="120"/>
      <w:ind w:firstLine="40"/>
      <w:outlineLvl w:val="2"/>
    </w:pPr>
    <w:rPr>
      <w:rFonts w:ascii="Arial" w:hAnsi="Arial"/>
      <w:sz w:val="24"/>
      <w:szCs w:val="28"/>
    </w:rPr>
  </w:style>
  <w:style w:type="paragraph" w:customStyle="1" w:styleId="39">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0">
    <w:name w:val="NO"/>
    <w:basedOn w:val="1"/>
    <w:link w:val="58"/>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1">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2">
    <w:name w:val="EQ"/>
    <w:basedOn w:val="1"/>
    <w:next w:val="1"/>
    <w:qFormat/>
    <w:uiPriority w:val="0"/>
    <w:pPr>
      <w:keepLines/>
      <w:tabs>
        <w:tab w:val="center" w:pos="4536"/>
        <w:tab w:val="right" w:pos="9072"/>
      </w:tabs>
    </w:pPr>
  </w:style>
  <w:style w:type="paragraph" w:customStyle="1" w:styleId="43">
    <w:name w:val="Table_title"/>
    <w:basedOn w:val="1"/>
    <w:next w:val="31"/>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4">
    <w:name w:val="TH"/>
    <w:basedOn w:val="1"/>
    <w:link w:val="72"/>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5">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6">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7">
    <w:name w:val="TAN"/>
    <w:basedOn w:val="1"/>
    <w:link w:val="56"/>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48">
    <w:name w:val="TF"/>
    <w:basedOn w:val="44"/>
    <w:qFormat/>
    <w:uiPriority w:val="0"/>
    <w:pPr>
      <w:keepNext w:val="0"/>
      <w:spacing w:before="0" w:after="240"/>
    </w:pPr>
  </w:style>
  <w:style w:type="paragraph" w:customStyle="1" w:styleId="49">
    <w:name w:val="B1"/>
    <w:basedOn w:val="18"/>
    <w:link w:val="55"/>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0">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1">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2">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3">
    <w:name w:val="char char"/>
    <w:basedOn w:val="37"/>
    <w:link w:val="69"/>
    <w:qFormat/>
    <w:uiPriority w:val="0"/>
    <w:pPr>
      <w:spacing w:before="180" w:after="120"/>
      <w:outlineLvl w:val="1"/>
    </w:pPr>
    <w:rPr>
      <w:rFonts w:ascii="Arial" w:hAnsi="Arial"/>
      <w:sz w:val="28"/>
      <w:szCs w:val="32"/>
    </w:rPr>
  </w:style>
  <w:style w:type="paragraph" w:customStyle="1" w:styleId="54">
    <w:name w:val="Char"/>
    <w:basedOn w:val="33"/>
    <w:link w:val="71"/>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5">
    <w:name w:val="B1 Char"/>
    <w:link w:val="49"/>
    <w:qFormat/>
    <w:uiPriority w:val="0"/>
    <w:rPr>
      <w:rFonts w:ascii="Times New Roman" w:hAnsi="Times New Roman" w:eastAsia="MS Mincho"/>
      <w:lang w:val="en-GB" w:eastAsia="de-DE"/>
    </w:rPr>
  </w:style>
  <w:style w:type="character" w:customStyle="1" w:styleId="56">
    <w:name w:val="TAN Char"/>
    <w:link w:val="47"/>
    <w:qFormat/>
    <w:uiPriority w:val="0"/>
    <w:rPr>
      <w:rFonts w:ascii="Arial" w:hAnsi="Arial" w:eastAsia="宋体"/>
      <w:sz w:val="18"/>
      <w:szCs w:val="18"/>
      <w:lang w:val="en-GB"/>
    </w:rPr>
  </w:style>
  <w:style w:type="character" w:customStyle="1" w:styleId="57">
    <w:name w:val="默认段落字体1"/>
    <w:qFormat/>
    <w:uiPriority w:val="0"/>
  </w:style>
  <w:style w:type="character" w:customStyle="1" w:styleId="58">
    <w:name w:val="NO Char"/>
    <w:link w:val="40"/>
    <w:qFormat/>
    <w:uiPriority w:val="0"/>
    <w:rPr>
      <w:rFonts w:ascii="Times New Roman" w:hAnsi="Times New Roman" w:eastAsia="Times New Roman"/>
      <w:lang w:val="en-GB"/>
    </w:rPr>
  </w:style>
  <w:style w:type="character" w:customStyle="1" w:styleId="59">
    <w:name w:val="TAH Car"/>
    <w:link w:val="34"/>
    <w:qFormat/>
    <w:uiPriority w:val="99"/>
    <w:rPr>
      <w:rFonts w:ascii="Arial" w:hAnsi="Arial" w:eastAsia="Times New Roman" w:cs="Times New Roman"/>
      <w:b/>
      <w:kern w:val="0"/>
      <w:sz w:val="18"/>
      <w:szCs w:val="20"/>
      <w:lang w:val="en-GB" w:eastAsia="ja-JP"/>
    </w:rPr>
  </w:style>
  <w:style w:type="character" w:customStyle="1" w:styleId="60">
    <w:name w:val="正文1 Char"/>
    <w:link w:val="37"/>
    <w:qFormat/>
    <w:uiPriority w:val="0"/>
    <w:rPr>
      <w:rFonts w:ascii="Times New Roman" w:hAnsi="Times New Roman" w:eastAsia="宋体" w:cs="Times New Roman"/>
      <w:kern w:val="0"/>
      <w:sz w:val="20"/>
      <w:szCs w:val="20"/>
    </w:rPr>
  </w:style>
  <w:style w:type="character" w:customStyle="1" w:styleId="61">
    <w:name w:val="keyword"/>
    <w:basedOn w:val="23"/>
    <w:qFormat/>
    <w:uiPriority w:val="0"/>
  </w:style>
  <w:style w:type="character" w:customStyle="1" w:styleId="62">
    <w:name w:val="c-icon"/>
    <w:basedOn w:val="23"/>
    <w:qFormat/>
    <w:uiPriority w:val="0"/>
  </w:style>
  <w:style w:type="character" w:customStyle="1" w:styleId="63">
    <w:name w:val="TAL Char"/>
    <w:link w:val="36"/>
    <w:qFormat/>
    <w:uiPriority w:val="0"/>
    <w:rPr>
      <w:rFonts w:ascii="Arial" w:hAnsi="Arial"/>
      <w:sz w:val="18"/>
      <w:lang w:val="en-GB" w:eastAsia="en-US"/>
    </w:rPr>
  </w:style>
  <w:style w:type="character" w:customStyle="1" w:styleId="64">
    <w:name w:val="标题 6 Char"/>
    <w:link w:val="7"/>
    <w:qFormat/>
    <w:uiPriority w:val="0"/>
    <w:rPr>
      <w:rFonts w:ascii="Arial" w:hAnsi="Arial" w:eastAsia="宋体"/>
      <w:lang w:val="en-GB" w:eastAsia="en-US"/>
    </w:rPr>
  </w:style>
  <w:style w:type="character" w:customStyle="1" w:styleId="65">
    <w:name w:val="c-icon14"/>
    <w:basedOn w:val="23"/>
    <w:qFormat/>
    <w:uiPriority w:val="0"/>
  </w:style>
  <w:style w:type="character" w:customStyle="1" w:styleId="66">
    <w:name w:val="标题 8 Char"/>
    <w:link w:val="9"/>
    <w:qFormat/>
    <w:uiPriority w:val="0"/>
    <w:rPr>
      <w:rFonts w:ascii="Arial" w:hAnsi="Arial" w:eastAsia="宋体"/>
      <w:sz w:val="36"/>
      <w:lang w:val="en-GB" w:eastAsia="en-US"/>
    </w:rPr>
  </w:style>
  <w:style w:type="character" w:customStyle="1" w:styleId="67">
    <w:name w:val="op_dict_text2"/>
    <w:basedOn w:val="23"/>
    <w:qFormat/>
    <w:uiPriority w:val="0"/>
  </w:style>
  <w:style w:type="character" w:customStyle="1" w:styleId="68">
    <w:name w:val="标题 9 Char"/>
    <w:link w:val="10"/>
    <w:qFormat/>
    <w:uiPriority w:val="0"/>
    <w:rPr>
      <w:rFonts w:ascii="Arial" w:hAnsi="Arial" w:eastAsia="宋体"/>
      <w:sz w:val="36"/>
      <w:lang w:val="en-GB" w:eastAsia="en-US"/>
    </w:rPr>
  </w:style>
  <w:style w:type="character" w:customStyle="1" w:styleId="69">
    <w:name w:val="char char Char"/>
    <w:link w:val="53"/>
    <w:qFormat/>
    <w:uiPriority w:val="0"/>
    <w:rPr>
      <w:rFonts w:ascii="Arial" w:hAnsi="Arial" w:eastAsia="宋体" w:cs="Times New Roman"/>
      <w:kern w:val="0"/>
      <w:sz w:val="28"/>
      <w:szCs w:val="32"/>
    </w:rPr>
  </w:style>
  <w:style w:type="character" w:customStyle="1" w:styleId="70">
    <w:name w:val="题注 Char"/>
    <w:link w:val="11"/>
    <w:qFormat/>
    <w:uiPriority w:val="0"/>
    <w:rPr>
      <w:rFonts w:ascii="Arial" w:hAnsi="Arial" w:eastAsia="黑体"/>
    </w:rPr>
  </w:style>
  <w:style w:type="character" w:customStyle="1" w:styleId="71">
    <w:name w:val="Char Char"/>
    <w:link w:val="54"/>
    <w:qFormat/>
    <w:uiPriority w:val="0"/>
    <w:rPr>
      <w:rFonts w:ascii="Arial" w:hAnsi="Arial"/>
      <w:sz w:val="32"/>
      <w:szCs w:val="36"/>
    </w:rPr>
  </w:style>
  <w:style w:type="character" w:customStyle="1" w:styleId="72">
    <w:name w:val="TH Char"/>
    <w:link w:val="44"/>
    <w:qFormat/>
    <w:uiPriority w:val="0"/>
    <w:rPr>
      <w:rFonts w:ascii="Arial" w:hAnsi="Arial" w:eastAsia="宋体"/>
      <w:b/>
      <w:bCs/>
      <w:lang w:val="en-GB"/>
    </w:rPr>
  </w:style>
  <w:style w:type="character" w:customStyle="1" w:styleId="73">
    <w:name w:val="正文文本 Char"/>
    <w:link w:val="14"/>
    <w:qFormat/>
    <w:uiPriority w:val="0"/>
    <w:rPr>
      <w:rFonts w:ascii="Times New Roman" w:hAnsi="Times New Roman" w:eastAsia="Times New Roman" w:cs="Times New Roman"/>
      <w:kern w:val="0"/>
      <w:sz w:val="20"/>
      <w:szCs w:val="20"/>
      <w:lang w:val="en-GB" w:eastAsia="en-US"/>
    </w:rPr>
  </w:style>
  <w:style w:type="character" w:customStyle="1" w:styleId="74">
    <w:name w:val="TAC Char"/>
    <w:basedOn w:val="23"/>
    <w:link w:val="35"/>
    <w:qFormat/>
    <w:uiPriority w:val="0"/>
    <w:rPr>
      <w:rFonts w:ascii="Arial" w:hAnsi="Arial" w:eastAsia="Times New Roman" w:cs="Times New Roman"/>
      <w:kern w:val="0"/>
      <w:sz w:val="18"/>
      <w:szCs w:val="20"/>
      <w:lang w:val="en-GB" w:eastAsia="ja-JP"/>
    </w:rPr>
  </w:style>
  <w:style w:type="character" w:customStyle="1" w:styleId="75">
    <w:name w:val="标题 4 Char"/>
    <w:link w:val="5"/>
    <w:qFormat/>
    <w:uiPriority w:val="0"/>
    <w:rPr>
      <w:rFonts w:ascii="Arial" w:hAnsi="Arial" w:eastAsia="宋体"/>
      <w:sz w:val="24"/>
      <w:lang w:val="en-GB" w:eastAsia="en-US"/>
    </w:rPr>
  </w:style>
  <w:style w:type="character" w:customStyle="1" w:styleId="76">
    <w:name w:val="char char char Char"/>
    <w:link w:val="38"/>
    <w:qFormat/>
    <w:uiPriority w:val="0"/>
    <w:rPr>
      <w:rFonts w:ascii="Arial" w:hAnsi="Arial" w:eastAsia="宋体" w:cs="Times New Roman"/>
      <w:kern w:val="0"/>
      <w:sz w:val="24"/>
      <w:szCs w:val="28"/>
    </w:rPr>
  </w:style>
  <w:style w:type="character" w:customStyle="1" w:styleId="77">
    <w:name w:val="页眉 Char"/>
    <w:link w:val="17"/>
    <w:qFormat/>
    <w:uiPriority w:val="99"/>
    <w:rPr>
      <w:sz w:val="18"/>
      <w:szCs w:val="18"/>
    </w:rPr>
  </w:style>
  <w:style w:type="character" w:customStyle="1" w:styleId="78">
    <w:name w:val="文档结构图 Char"/>
    <w:link w:val="12"/>
    <w:semiHidden/>
    <w:qFormat/>
    <w:uiPriority w:val="99"/>
    <w:rPr>
      <w:rFonts w:ascii="宋体" w:eastAsia="宋体"/>
      <w:sz w:val="18"/>
      <w:szCs w:val="18"/>
    </w:rPr>
  </w:style>
  <w:style w:type="character" w:customStyle="1" w:styleId="79">
    <w:name w:val="标题 7 Char"/>
    <w:link w:val="8"/>
    <w:qFormat/>
    <w:uiPriority w:val="0"/>
    <w:rPr>
      <w:rFonts w:ascii="Arial" w:hAnsi="Arial" w:eastAsia="宋体"/>
      <w:lang w:val="en-GB" w:eastAsia="en-US"/>
    </w:rPr>
  </w:style>
  <w:style w:type="character" w:customStyle="1" w:styleId="80">
    <w:name w:val="标题 1 Char"/>
    <w:link w:val="2"/>
    <w:qFormat/>
    <w:uiPriority w:val="9"/>
    <w:rPr>
      <w:rFonts w:ascii="Cambria" w:hAnsi="Cambria" w:eastAsia="宋体" w:cs="Times New Roman"/>
      <w:b/>
      <w:bCs/>
      <w:kern w:val="32"/>
      <w:sz w:val="32"/>
      <w:szCs w:val="32"/>
      <w:lang w:val="en-US"/>
    </w:rPr>
  </w:style>
  <w:style w:type="character" w:customStyle="1" w:styleId="81">
    <w:name w:val="页脚 Char"/>
    <w:link w:val="16"/>
    <w:qFormat/>
    <w:uiPriority w:val="99"/>
    <w:rPr>
      <w:sz w:val="18"/>
      <w:szCs w:val="18"/>
    </w:rPr>
  </w:style>
  <w:style w:type="character" w:customStyle="1" w:styleId="82">
    <w:name w:val="批注主题 Char"/>
    <w:link w:val="20"/>
    <w:semiHidden/>
    <w:qFormat/>
    <w:uiPriority w:val="99"/>
    <w:rPr>
      <w:b/>
      <w:bCs/>
      <w:kern w:val="2"/>
      <w:lang w:eastAsia="zh-CN"/>
    </w:rPr>
  </w:style>
  <w:style w:type="character" w:customStyle="1" w:styleId="83">
    <w:name w:val="msoins"/>
    <w:basedOn w:val="23"/>
    <w:qFormat/>
    <w:uiPriority w:val="0"/>
  </w:style>
  <w:style w:type="character" w:customStyle="1" w:styleId="84">
    <w:name w:val="标题 2 Char"/>
    <w:link w:val="3"/>
    <w:qFormat/>
    <w:uiPriority w:val="0"/>
    <w:rPr>
      <w:rFonts w:ascii="Arial" w:hAnsi="Arial"/>
      <w:sz w:val="32"/>
      <w:lang w:eastAsia="en-US"/>
    </w:rPr>
  </w:style>
  <w:style w:type="character" w:customStyle="1" w:styleId="85">
    <w:name w:val="标题 5 Char"/>
    <w:link w:val="6"/>
    <w:qFormat/>
    <w:uiPriority w:val="0"/>
    <w:rPr>
      <w:rFonts w:ascii="Arial" w:hAnsi="Arial" w:eastAsia="宋体"/>
      <w:sz w:val="22"/>
      <w:lang w:val="en-GB" w:eastAsia="en-US"/>
    </w:rPr>
  </w:style>
  <w:style w:type="character" w:customStyle="1" w:styleId="86">
    <w:name w:val="标题 3 Char"/>
    <w:link w:val="4"/>
    <w:qFormat/>
    <w:uiPriority w:val="0"/>
    <w:rPr>
      <w:rFonts w:ascii="Arial" w:hAnsi="Arial"/>
      <w:sz w:val="28"/>
      <w:lang w:eastAsia="en-US"/>
    </w:rPr>
  </w:style>
  <w:style w:type="character" w:customStyle="1" w:styleId="87">
    <w:name w:val="批注文字 Char"/>
    <w:link w:val="13"/>
    <w:semiHidden/>
    <w:qFormat/>
    <w:uiPriority w:val="99"/>
    <w:rPr>
      <w:kern w:val="2"/>
      <w:lang w:eastAsia="zh-CN"/>
    </w:rPr>
  </w:style>
  <w:style w:type="character" w:customStyle="1" w:styleId="88">
    <w:name w:val="op_dict3_lineone_result_tip"/>
    <w:qFormat/>
    <w:uiPriority w:val="0"/>
    <w:rPr>
      <w:color w:val="999999"/>
    </w:rPr>
  </w:style>
  <w:style w:type="character" w:styleId="89">
    <w:name w:val="Placeholder Text"/>
    <w:basedOn w:val="23"/>
    <w:semiHidden/>
    <w:qFormat/>
    <w:uiPriority w:val="99"/>
    <w:rPr>
      <w:color w:val="808080"/>
    </w:rPr>
  </w:style>
  <w:style w:type="paragraph" w:customStyle="1" w:styleId="90">
    <w:name w:val="3GPP Normal Text"/>
    <w:basedOn w:val="14"/>
    <w:qFormat/>
    <w:uiPriority w:val="0"/>
    <w:pPr>
      <w:spacing w:after="120"/>
      <w:ind w:left="1440" w:hanging="1440"/>
      <w:jc w:val="both"/>
    </w:pPr>
    <w:rPr>
      <w:rFonts w:eastAsia="MS Mincho"/>
      <w:sz w:val="22"/>
      <w:szCs w:val="24"/>
    </w:rPr>
  </w:style>
  <w:style w:type="paragraph" w:customStyle="1" w:styleId="91">
    <w:name w:val="CR Cover Page"/>
    <w:qFormat/>
    <w:uiPriority w:val="0"/>
    <w:pPr>
      <w:spacing w:after="120"/>
    </w:pPr>
    <w:rPr>
      <w:rFonts w:ascii="Arial" w:hAnsi="Arial" w:eastAsia="Times New Roman" w:cs="Times New Roman"/>
      <w:lang w:val="en-GB" w:eastAsia="en-US" w:bidi="ar-SA"/>
    </w:rPr>
  </w:style>
  <w:style w:type="paragraph" w:customStyle="1" w:styleId="92">
    <w:name w:val="Agreement"/>
    <w:basedOn w:val="1"/>
    <w:next w:val="93"/>
    <w:qFormat/>
    <w:uiPriority w:val="0"/>
    <w:pPr>
      <w:numPr>
        <w:ilvl w:val="0"/>
        <w:numId w:val="2"/>
      </w:numPr>
      <w:spacing w:before="60"/>
    </w:pPr>
    <w:rPr>
      <w:rFonts w:ascii="Arial" w:hAnsi="Arial" w:eastAsia="MS Mincho" w:cs="Times New Roman"/>
      <w:b/>
      <w:sz w:val="20"/>
      <w:szCs w:val="24"/>
      <w:lang w:val="en-GB" w:eastAsia="en-GB"/>
    </w:rPr>
  </w:style>
  <w:style w:type="paragraph" w:customStyle="1" w:styleId="93">
    <w:name w:val="Doc-text2"/>
    <w:basedOn w:val="1"/>
    <w:qFormat/>
    <w:uiPriority w:val="0"/>
    <w:pPr>
      <w:tabs>
        <w:tab w:val="left" w:pos="1622"/>
      </w:tabs>
      <w:ind w:left="1622" w:hanging="363"/>
    </w:pPr>
    <w:rPr>
      <w:rFonts w:ascii="Arial" w:hAnsi="Arial" w:eastAsia="MS Mincho"/>
      <w:sz w:val="20"/>
      <w:lang w:eastAsia="en-GB"/>
    </w:rPr>
  </w:style>
  <w:style w:type="paragraph" w:customStyle="1" w:styleId="94">
    <w:name w:val="paragraph"/>
    <w:basedOn w:val="1"/>
    <w:qFormat/>
    <w:uiPriority w:val="0"/>
    <w:pPr>
      <w:spacing w:before="100" w:beforeAutospacing="1" w:after="100" w:afterAutospacing="1" w:line="240" w:lineRule="auto"/>
      <w:jc w:val="left"/>
    </w:pPr>
    <w:rPr>
      <w:rFonts w:eastAsia="Times New Roman" w:cs="Times New Roman"/>
      <w:sz w:val="24"/>
      <w:szCs w:val="24"/>
    </w:rPr>
  </w:style>
  <w:style w:type="paragraph" w:customStyle="1" w:styleId="95">
    <w:name w:val="RAN4 observation"/>
    <w:basedOn w:val="96"/>
    <w:next w:val="1"/>
    <w:qFormat/>
    <w:uiPriority w:val="0"/>
    <w:pPr>
      <w:ind w:left="0" w:firstLine="0"/>
    </w:pPr>
  </w:style>
  <w:style w:type="paragraph" w:customStyle="1" w:styleId="96">
    <w:name w:val="RAN4 Observation"/>
    <w:basedOn w:val="33"/>
    <w:next w:val="1"/>
    <w:qFormat/>
    <w:uiPriority w:val="0"/>
    <w:pPr>
      <w:numPr>
        <w:ilvl w:val="0"/>
        <w:numId w:val="3"/>
      </w:numPr>
    </w:pPr>
    <w:rPr>
      <w:rFonts w:eastAsia="Calibri" w:cs="Times New Roman"/>
      <w:szCs w:val="20"/>
      <w:lang w:val="en-GB"/>
    </w:rPr>
  </w:style>
  <w:style w:type="paragraph" w:customStyle="1" w:styleId="97">
    <w:name w:val="RAN4 proposal"/>
    <w:basedOn w:val="11"/>
    <w:next w:val="1"/>
    <w:qFormat/>
    <w:uiPriority w:val="0"/>
    <w:pPr>
      <w:numPr>
        <w:ilvl w:val="0"/>
        <w:numId w:val="4"/>
      </w:numPr>
      <w:ind w:left="0" w:firstLine="0"/>
      <w:jc w:val="left"/>
    </w:pPr>
    <w:rPr>
      <w:rFonts w:ascii="Times New Roman" w:hAnsi="Times New Roman"/>
      <w:b/>
      <w:sz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AE8CA6-1652-4C1F-BEFB-1812F9C4F936}">
  <ds:schemaRefs/>
</ds:datastoreItem>
</file>

<file path=docProps/app.xml><?xml version="1.0" encoding="utf-8"?>
<Properties xmlns="http://schemas.openxmlformats.org/officeDocument/2006/extended-properties" xmlns:vt="http://schemas.openxmlformats.org/officeDocument/2006/docPropsVTypes">
  <Template>Normal.dotm</Template>
  <Company>Alcatel-Lucent</Company>
  <Pages>9</Pages>
  <Words>2037</Words>
  <Characters>11616</Characters>
  <Lines>96</Lines>
  <Paragraphs>27</Paragraphs>
  <TotalTime>6</TotalTime>
  <ScaleCrop>false</ScaleCrop>
  <LinksUpToDate>false</LinksUpToDate>
  <CharactersWithSpaces>13626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Wu Yan (ZTE)</cp:lastModifiedBy>
  <dcterms:modified xsi:type="dcterms:W3CDTF">2024-08-09T12:02:40Z</dcterms:modified>
  <cp:revision>130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197A0629886B49B487D6EE96F310746B</vt:lpwstr>
  </property>
</Properties>
</file>